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ksttreci21"/>
        <w:spacing w:lineRule="auto" w:line="288"/>
        <w:jc w:val="start"/>
        <w:rPr/>
      </w:pPr>
      <w:r>
        <w:rPr>
          <w:rStyle w:val="Domylnaczcionkaakapitu"/>
          <w:rFonts w:ascii="Calibri" w:hAnsi="Calibri"/>
          <w:sz w:val="15"/>
          <w:szCs w:val="15"/>
          <w:lang w:bidi="pl-PL"/>
        </w:rPr>
        <w:t xml:space="preserve"> </w:t>
      </w:r>
      <w:r>
        <w:rPr>
          <w:rStyle w:val="Domylnaczcionkaakapitu"/>
          <w:rFonts w:ascii="Calibri" w:hAnsi="Calibri"/>
          <w:sz w:val="15"/>
          <w:szCs w:val="15"/>
          <w:lang w:bidi="pl-PL"/>
        </w:rPr>
        <w:t xml:space="preserve">Załączniki do rozporządzenia </w:t>
        <w:br/>
        <w:t>Przewodniczącego Komitetu do spraw Pożytku Publicznego z dnia 24 października 2018 r. (poz. 2055</w:t>
      </w:r>
      <w:bookmarkStart w:id="0" w:name="_GoBack"/>
      <w:bookmarkEnd w:id="0"/>
      <w:r>
        <w:rPr>
          <w:rStyle w:val="Domylnaczcionkaakapitu"/>
          <w:rFonts w:ascii="Calibri" w:hAnsi="Calibri"/>
          <w:sz w:val="15"/>
          <w:szCs w:val="15"/>
          <w:lang w:bidi="pl-PL"/>
        </w:rPr>
        <w:t>)</w:t>
      </w:r>
    </w:p>
    <w:p>
      <w:pPr>
        <w:pStyle w:val="Teksttreci21"/>
        <w:spacing w:lineRule="auto" w:line="288"/>
        <w:jc w:val="end"/>
        <w:rPr>
          <w:rFonts w:ascii="Calibri" w:hAnsi="Calibri"/>
          <w:b/>
          <w:sz w:val="20"/>
          <w:szCs w:val="20"/>
          <w:lang w:bidi="pl-PL"/>
        </w:rPr>
      </w:pPr>
      <w:r>
        <w:rPr>
          <w:rFonts w:ascii="Calibri" w:hAnsi="Calibri"/>
          <w:b/>
          <w:sz w:val="20"/>
          <w:szCs w:val="20"/>
          <w:lang w:bidi="pl-PL"/>
        </w:rPr>
        <w:t>Załącznik nr 1</w:t>
      </w:r>
    </w:p>
    <w:p>
      <w:pPr>
        <w:pStyle w:val="Normal"/>
        <w:spacing w:before="280" w:after="0"/>
        <w:jc w:val="center"/>
        <w:rPr>
          <w:rFonts w:ascii="Calibri" w:hAnsi="Calibri" w:eastAsia="Arial" w:cs="Calibri"/>
          <w:b/>
          <w:bCs/>
        </w:rPr>
      </w:pPr>
      <w:r>
        <w:rPr>
          <w:rFonts w:eastAsia="Arial" w:cs="Calibri" w:ascii="Calibri" w:hAnsi="Calibri"/>
          <w:b/>
          <w:bCs/>
        </w:rPr>
        <w:t>UPROSZCZONA OFERTA REALIZACJI ZADANIA PUBLICZNEGO</w:t>
      </w:r>
    </w:p>
    <w:p>
      <w:pPr>
        <w:pStyle w:val="Normal"/>
        <w:spacing w:before="280" w:after="0"/>
        <w:jc w:val="center"/>
        <w:rPr>
          <w:rFonts w:ascii="Calibri" w:hAnsi="Calibri" w:eastAsia="Arial" w:cs="Calibri"/>
          <w:bCs/>
        </w:rPr>
      </w:pPr>
      <w:r>
        <w:rPr>
          <w:rFonts w:eastAsia="Arial" w:cs="Calibri" w:ascii="Calibri" w:hAnsi="Calibri"/>
          <w:bCs/>
        </w:rPr>
      </w:r>
    </w:p>
    <w:p>
      <w:pPr>
        <w:pStyle w:val="Normal"/>
        <w:rPr>
          <w:rFonts w:ascii="Calibri" w:hAnsi="Calibri" w:cs="Calibri;Bold"/>
          <w:b/>
          <w:bCs/>
          <w:color w:val="auto"/>
          <w:sz w:val="17"/>
          <w:szCs w:val="17"/>
        </w:rPr>
      </w:pPr>
      <w:r>
        <w:rPr>
          <w:rFonts w:cs="Calibri;Bold" w:ascii="Calibri" w:hAnsi="Calibri"/>
          <w:b/>
          <w:bCs/>
          <w:color w:val="auto"/>
          <w:sz w:val="17"/>
          <w:szCs w:val="17"/>
        </w:rPr>
        <w:t>POUCZENIE co do sposobu wypełniania oferty:</w:t>
      </w:r>
    </w:p>
    <w:p>
      <w:pPr>
        <w:pStyle w:val="Normal"/>
        <w:rPr>
          <w:rFonts w:ascii="Calibri" w:hAnsi="Calibri" w:cs="Calibri"/>
          <w:color w:val="auto"/>
          <w:sz w:val="17"/>
          <w:szCs w:val="17"/>
        </w:rPr>
      </w:pPr>
      <w:r>
        <w:rPr>
          <w:rFonts w:cs="Calibri" w:ascii="Calibri" w:hAnsi="Calibri"/>
          <w:color w:val="auto"/>
          <w:sz w:val="17"/>
          <w:szCs w:val="17"/>
        </w:rPr>
        <w:t>Ofertę należy wypełnić wyłącznie w białych pustych polach, zgodnie z instrukcjami umieszczonymi przy poszczególnych polach</w:t>
      </w:r>
    </w:p>
    <w:p>
      <w:pPr>
        <w:pStyle w:val="Normal"/>
        <w:rPr>
          <w:rFonts w:ascii="Calibri" w:hAnsi="Calibri" w:cs="Calibri"/>
          <w:color w:val="auto"/>
          <w:sz w:val="17"/>
          <w:szCs w:val="17"/>
        </w:rPr>
      </w:pPr>
      <w:r>
        <w:rPr>
          <w:rFonts w:cs="Calibri" w:ascii="Calibri" w:hAnsi="Calibri"/>
          <w:color w:val="auto"/>
          <w:sz w:val="17"/>
          <w:szCs w:val="17"/>
        </w:rPr>
        <w:t>oraz w przypisach.</w:t>
      </w:r>
    </w:p>
    <w:p>
      <w:pPr>
        <w:pStyle w:val="Normal"/>
        <w:rPr/>
      </w:pPr>
      <w:r>
        <w:rPr>
          <w:rStyle w:val="Domylnaczcionkaakapitu"/>
          <w:rFonts w:cs="Calibri" w:ascii="Calibri" w:hAnsi="Calibri"/>
          <w:color w:val="auto"/>
          <w:sz w:val="17"/>
          <w:szCs w:val="17"/>
        </w:rPr>
        <w:t>Zaznaczenie gwiazdką, np.: „pobieranie*/niepobieranie*” oznacza, że należy skreślić niewłaściwą odpowiedź, pozostawiając prawidłową. Przykład: „pobieranie*/</w:t>
      </w:r>
      <w:r>
        <w:rPr>
          <w:rStyle w:val="Domylnaczcionkaakapitu"/>
          <w:rFonts w:cs="Calibri" w:ascii="Calibri" w:hAnsi="Calibri"/>
          <w:strike/>
          <w:color w:val="auto"/>
          <w:sz w:val="17"/>
          <w:szCs w:val="17"/>
        </w:rPr>
        <w:t>niepobieranie</w:t>
      </w:r>
      <w:r>
        <w:rPr>
          <w:rStyle w:val="Domylnaczcionkaakapitu"/>
          <w:rFonts w:cs="Calibri" w:ascii="Calibri" w:hAnsi="Calibri"/>
          <w:color w:val="auto"/>
          <w:sz w:val="17"/>
          <w:szCs w:val="17"/>
        </w:rPr>
        <w:t>*”.</w:t>
      </w:r>
    </w:p>
    <w:p>
      <w:pPr>
        <w:pStyle w:val="Normal"/>
        <w:spacing w:before="280" w:after="0"/>
        <w:jc w:val="center"/>
        <w:rPr>
          <w:rFonts w:ascii="Calibri" w:hAnsi="Calibri" w:eastAsia="Arial" w:cs="Calibri"/>
          <w:bCs/>
        </w:rPr>
      </w:pPr>
      <w:r>
        <w:rPr>
          <w:rFonts w:eastAsia="Arial" w:cs="Calibri" w:ascii="Calibri" w:hAnsi="Calibri"/>
          <w:bCs/>
        </w:rPr>
      </w:r>
    </w:p>
    <w:p>
      <w:pPr>
        <w:pStyle w:val="Normal"/>
        <w:widowControl w:val="false"/>
        <w:tabs>
          <w:tab w:val="clear" w:pos="720"/>
        </w:tabs>
        <w:ind w:hanging="284" w:start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  <w:t>I. Podstawowe informacje o złożonej ofercie</w:t>
      </w:r>
    </w:p>
    <w:tbl>
      <w:tblPr>
        <w:tblW w:w="10774" w:type="dxa"/>
        <w:jc w:val="start"/>
        <w:tblInd w:w="-861" w:type="dxa"/>
        <w:tblLayout w:type="fixed"/>
        <w:tblCellMar>
          <w:top w:w="0" w:type="dxa"/>
          <w:start w:w="113" w:type="dxa"/>
          <w:bottom w:w="0" w:type="dxa"/>
          <w:end w:w="108" w:type="dxa"/>
        </w:tblCellMar>
      </w:tblPr>
      <w:tblGrid>
        <w:gridCol w:w="4392"/>
        <w:gridCol w:w="6382"/>
      </w:tblGrid>
      <w:tr>
        <w:trPr>
          <w:trHeight w:val="379" w:hRule="atLeast"/>
        </w:trPr>
        <w:tc>
          <w:tcPr>
            <w:tcW w:w="43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/>
                <w:b/>
                <w:sz w:val="20"/>
                <w:szCs w:val="20"/>
              </w:rPr>
            </w:pPr>
            <w:r>
              <w:rPr>
                <w:rFonts w:eastAsia="Arial" w:cs="Calibri" w:ascii="Calibri" w:hAnsi="Calibri"/>
                <w:b/>
                <w:sz w:val="20"/>
                <w:szCs w:val="20"/>
              </w:rPr>
              <w:t>1. Organ administracji publicznej,</w:t>
            </w:r>
          </w:p>
          <w:p>
            <w:pPr>
              <w:pStyle w:val="Normal"/>
              <w:rPr/>
            </w:pPr>
            <w:r>
              <w:rPr>
                <w:rStyle w:val="Domylnaczcionkaakapitu"/>
                <w:rFonts w:eastAsia="Arial" w:cs="Calibri" w:ascii="Calibri" w:hAnsi="Calibri"/>
                <w:sz w:val="20"/>
                <w:szCs w:val="20"/>
              </w:rPr>
              <w:t xml:space="preserve">    </w:t>
            </w:r>
            <w:r>
              <w:rPr>
                <w:rStyle w:val="Domylnaczcionkaakapitu"/>
                <w:rFonts w:eastAsia="Arial" w:cs="Calibri" w:ascii="Calibri" w:hAnsi="Calibr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"/>
              <w:rPr>
                <w:rFonts w:ascii="Calibri" w:hAnsi="Calibri" w:eastAsia="Arial" w:cs="Calibri"/>
                <w:b/>
                <w:bCs/>
                <w:sz w:val="21"/>
                <w:szCs w:val="21"/>
              </w:rPr>
            </w:pPr>
            <w:r>
              <w:rPr>
                <w:rFonts w:eastAsia="Arial" w:cs="Calibri" w:ascii="Calibri" w:hAnsi="Calibri"/>
                <w:b/>
                <w:bCs/>
                <w:sz w:val="21"/>
                <w:szCs w:val="21"/>
              </w:rPr>
              <w:t>Prezydent Miasta Legionowo</w:t>
            </w:r>
          </w:p>
        </w:tc>
      </w:tr>
      <w:tr>
        <w:trPr>
          <w:trHeight w:val="377" w:hRule="atLeast"/>
        </w:trPr>
        <w:tc>
          <w:tcPr>
            <w:tcW w:w="43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rPr/>
            </w:pPr>
            <w:r>
              <w:rPr>
                <w:rStyle w:val="Domylnaczcionkaakapitu"/>
                <w:rFonts w:eastAsia="Arial" w:cs="Calibri" w:ascii="Calibri" w:hAnsi="Calibri"/>
                <w:b/>
                <w:sz w:val="20"/>
                <w:szCs w:val="20"/>
              </w:rPr>
              <w:t>2. Rodzaj zadania publicznego</w:t>
            </w:r>
            <w:r>
              <w:rPr>
                <w:rStyle w:val="FootnoteReference"/>
                <w:rFonts w:eastAsia="Arial" w:cs="Calibri" w:ascii="Calibri" w:hAnsi="Calibri"/>
                <w:sz w:val="20"/>
                <w:szCs w:val="20"/>
              </w:rPr>
              <w:footnoteReference w:id="2"/>
            </w:r>
            <w:r>
              <w:rPr>
                <w:rStyle w:val="Domylnaczcionkaakapitu"/>
                <w:rFonts w:eastAsia="Arial" w:cs="Calibri" w:ascii="Calibri" w:hAnsi="Calibri"/>
                <w:position w:val="6"/>
                <w:sz w:val="20"/>
                <w:szCs w:val="20"/>
              </w:rPr>
              <w:t>)</w:t>
            </w:r>
          </w:p>
        </w:tc>
        <w:tc>
          <w:tcPr>
            <w:tcW w:w="63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"/>
              <w:rPr>
                <w:rFonts w:ascii="Calibri" w:hAnsi="Calibri" w:eastAsia="Arial" w:cs="Calibri"/>
                <w:b/>
                <w:bCs/>
                <w:sz w:val="21"/>
                <w:szCs w:val="21"/>
              </w:rPr>
            </w:pPr>
            <w:r>
              <w:rPr>
                <w:rFonts w:eastAsia="Arial" w:cs="Calibri" w:ascii="Calibri" w:hAnsi="Calibri"/>
                <w:b/>
                <w:bCs/>
                <w:sz w:val="21"/>
                <w:szCs w:val="21"/>
              </w:rPr>
              <w:t>Przeciwdziałanie uzależnieniom i patologiom społecznym</w:t>
            </w:r>
          </w:p>
        </w:tc>
      </w:tr>
    </w:tbl>
    <w:p>
      <w:pPr>
        <w:pStyle w:val="Normal"/>
        <w:jc w:val="both"/>
        <w:rPr>
          <w:rFonts w:ascii="Calibri" w:hAnsi="Calibri" w:eastAsia="Arial" w:cs="Calibri"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</w:r>
    </w:p>
    <w:p>
      <w:pPr>
        <w:pStyle w:val="Normal"/>
        <w:widowControl w:val="false"/>
        <w:tabs>
          <w:tab w:val="clear" w:pos="720"/>
        </w:tabs>
        <w:ind w:hanging="284" w:start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  <w:t>II. Dane oferenta(-tów)</w:t>
      </w:r>
    </w:p>
    <w:tbl>
      <w:tblPr>
        <w:tblW w:w="10710" w:type="dxa"/>
        <w:jc w:val="start"/>
        <w:tblInd w:w="-808" w:type="dxa"/>
        <w:tblLayout w:type="fixed"/>
        <w:tblCellMar>
          <w:top w:w="0" w:type="dxa"/>
          <w:start w:w="113" w:type="dxa"/>
          <w:bottom w:w="0" w:type="dxa"/>
          <w:end w:w="108" w:type="dxa"/>
        </w:tblCellMar>
      </w:tblPr>
      <w:tblGrid>
        <w:gridCol w:w="4335"/>
        <w:gridCol w:w="6375"/>
      </w:tblGrid>
      <w:tr>
        <w:trPr>
          <w:trHeight w:val="543" w:hRule="atLeast"/>
        </w:trPr>
        <w:tc>
          <w:tcPr>
            <w:tcW w:w="1071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tabs>
                <w:tab w:val="clear" w:pos="720"/>
              </w:tabs>
              <w:ind w:hanging="283" w:start="317"/>
              <w:jc w:val="both"/>
              <w:rPr>
                <w:rFonts w:ascii="Calibri" w:hAnsi="Calibri" w:eastAsia="Arial" w:cs="Calibri"/>
                <w:b/>
                <w:sz w:val="20"/>
                <w:szCs w:val="20"/>
              </w:rPr>
            </w:pPr>
            <w:r>
              <w:rPr>
                <w:rFonts w:eastAsia="Arial" w:cs="Calibri" w:ascii="Calibri" w:hAnsi="Calibri"/>
                <w:b/>
                <w:sz w:val="20"/>
                <w:szCs w:val="20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673" w:hRule="atLeast"/>
        </w:trPr>
        <w:tc>
          <w:tcPr>
            <w:tcW w:w="10710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"/>
              <w:rPr>
                <w:rFonts w:ascii="Calibri" w:hAnsi="Calibri" w:eastAsia="Arial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spacing w:lineRule="exact" w:line="200"/>
              <w:rPr/>
            </w:pPr>
            <w:r>
              <w:rPr>
                <w:rStyle w:val="Domylnaczcionkaakapitu"/>
                <w:rFonts w:eastAsia="Arial" w:cs="Calibri" w:ascii="Calibri" w:hAnsi="Calibri"/>
                <w:b/>
                <w:bCs/>
                <w:i/>
                <w:color w:val="404040"/>
                <w:sz w:val="21"/>
                <w:szCs w:val="21"/>
              </w:rPr>
              <w:t xml:space="preserve">Nazwa oferenta: </w:t>
            </w:r>
            <w:r>
              <w:rPr>
                <w:rStyle w:val="Domylnaczcionkaakapitu"/>
                <w:rFonts w:cs="Calibri" w:ascii="Calibri" w:hAnsi="Calibri"/>
                <w:b/>
                <w:bCs/>
                <w:sz w:val="21"/>
                <w:szCs w:val="21"/>
              </w:rPr>
              <w:t>Fundacja Pasja Życia im. s. Józefy Menendez</w:t>
            </w:r>
          </w:p>
          <w:p>
            <w:pPr>
              <w:pStyle w:val="Normal"/>
              <w:spacing w:lineRule="exact" w:line="200"/>
              <w:rPr>
                <w:rFonts w:ascii="Calibri" w:hAnsi="Calibri" w:cs="Calibri"/>
                <w:b/>
                <w:bCs/>
                <w:sz w:val="21"/>
                <w:szCs w:val="21"/>
              </w:rPr>
            </w:pPr>
            <w:r>
              <w:rPr>
                <w:rFonts w:cs="Calibri" w:ascii="Calibri" w:hAnsi="Calibri"/>
                <w:b/>
                <w:bCs/>
                <w:sz w:val="21"/>
                <w:szCs w:val="21"/>
              </w:rPr>
            </w:r>
          </w:p>
          <w:p>
            <w:pPr>
              <w:pStyle w:val="Normal"/>
              <w:spacing w:lineRule="exact" w:line="200"/>
              <w:rPr/>
            </w:pPr>
            <w:r>
              <w:rPr>
                <w:rStyle w:val="Domylnaczcionkaakapitu"/>
                <w:rFonts w:eastAsia="Arial" w:cs="Calibri" w:ascii="Calibri" w:hAnsi="Calibri"/>
                <w:b/>
                <w:bCs/>
                <w:i/>
                <w:color w:val="404040"/>
                <w:sz w:val="21"/>
                <w:szCs w:val="21"/>
              </w:rPr>
              <w:t xml:space="preserve">Numer KRS lub numer innej ewidencji: </w:t>
            </w:r>
            <w:r>
              <w:rPr>
                <w:rStyle w:val="Domylnaczcionkaakapitu"/>
                <w:rFonts w:eastAsia="Arial" w:cs="Calibri" w:ascii="Calibri" w:hAnsi="Calibri"/>
                <w:b/>
                <w:bCs/>
                <w:color w:val="404040"/>
                <w:sz w:val="21"/>
                <w:szCs w:val="21"/>
              </w:rPr>
              <w:t>KRS</w:t>
            </w:r>
            <w:r>
              <w:rPr>
                <w:rStyle w:val="Domylnaczcionkaakapitu"/>
                <w:rFonts w:eastAsia="Arial" w:cs="Calibri" w:ascii="Calibri" w:hAnsi="Calibri"/>
                <w:b/>
                <w:bCs/>
                <w:i/>
                <w:color w:val="404040"/>
                <w:sz w:val="21"/>
                <w:szCs w:val="21"/>
              </w:rPr>
              <w:t xml:space="preserve"> </w:t>
            </w:r>
            <w:r>
              <w:rPr>
                <w:rStyle w:val="Domylnaczcionkaakapitu"/>
                <w:rFonts w:cs="Calibri" w:ascii="Calibri" w:hAnsi="Calibri"/>
                <w:b/>
                <w:bCs/>
                <w:sz w:val="21"/>
                <w:szCs w:val="21"/>
              </w:rPr>
              <w:t>0000255721</w:t>
            </w:r>
          </w:p>
          <w:p>
            <w:pPr>
              <w:pStyle w:val="Normal"/>
              <w:rPr>
                <w:rFonts w:ascii="Calibri" w:hAnsi="Calibri" w:eastAsia="Arial" w:cs="Calibri"/>
                <w:b/>
                <w:bCs/>
                <w:i/>
                <w:i/>
                <w:color w:val="404040"/>
                <w:sz w:val="21"/>
                <w:szCs w:val="21"/>
              </w:rPr>
            </w:pPr>
            <w:r>
              <w:rPr>
                <w:rFonts w:eastAsia="Arial" w:cs="Calibri" w:ascii="Calibri" w:hAnsi="Calibri"/>
                <w:b/>
                <w:bCs/>
                <w:i/>
                <w:color w:val="404040"/>
                <w:sz w:val="21"/>
                <w:szCs w:val="21"/>
              </w:rPr>
            </w:r>
          </w:p>
          <w:p>
            <w:pPr>
              <w:pStyle w:val="Normal"/>
              <w:spacing w:lineRule="exact" w:line="200"/>
              <w:rPr/>
            </w:pPr>
            <w:r>
              <w:rPr>
                <w:rStyle w:val="Domylnaczcionkaakapitu"/>
                <w:rFonts w:eastAsia="Arial" w:cs="Calibri" w:ascii="Calibri" w:hAnsi="Calibri"/>
                <w:b/>
                <w:bCs/>
                <w:i/>
                <w:color w:val="404040"/>
                <w:sz w:val="21"/>
                <w:szCs w:val="21"/>
              </w:rPr>
              <w:t xml:space="preserve">Adres siedziby lub adres do korespondencji: </w:t>
            </w:r>
            <w:r>
              <w:rPr>
                <w:rStyle w:val="Domylnaczcionkaakapitu"/>
                <w:rFonts w:eastAsia="Arial" w:cs="Calibri" w:ascii="Calibri" w:hAnsi="Calibri"/>
                <w:b/>
                <w:bCs/>
                <w:sz w:val="21"/>
                <w:szCs w:val="21"/>
              </w:rPr>
              <w:t>siedziba: 05-120 Legionowo ul. Strużańska 2B</w:t>
            </w:r>
          </w:p>
          <w:p>
            <w:pPr>
              <w:pStyle w:val="Standard"/>
              <w:rPr/>
            </w:pPr>
            <w:hyperlink r:id="rId2" w:tgtFrame="_top">
              <w:r>
                <w:rPr>
                  <w:rStyle w:val="Hyperlink"/>
                  <w:rFonts w:eastAsia="Arial" w:cs="Calibri" w:ascii="Calibri" w:hAnsi="Calibri"/>
                  <w:b/>
                  <w:bCs/>
                  <w:sz w:val="21"/>
                  <w:szCs w:val="21"/>
                </w:rPr>
                <w:t>fundacja@pasjazycia.org</w:t>
              </w:r>
            </w:hyperlink>
            <w:r>
              <w:rPr>
                <w:rStyle w:val="Domylnaczcionkaakapitu"/>
                <w:rFonts w:eastAsia="Arial" w:cs="Calibri" w:ascii="Calibri" w:hAnsi="Calibri"/>
                <w:b/>
                <w:bCs/>
                <w:sz w:val="21"/>
                <w:szCs w:val="21"/>
              </w:rPr>
              <w:t>, tel. sekretariat: 509 432 492</w:t>
            </w:r>
          </w:p>
        </w:tc>
      </w:tr>
      <w:tr>
        <w:trPr>
          <w:trHeight w:val="993" w:hRule="atLeast"/>
        </w:trPr>
        <w:tc>
          <w:tcPr>
            <w:tcW w:w="43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tabs>
                <w:tab w:val="clear" w:pos="720"/>
              </w:tabs>
              <w:ind w:hanging="176" w:start="176"/>
              <w:rPr/>
            </w:pPr>
            <w:r>
              <w:rPr>
                <w:rStyle w:val="Domylnaczcionkaakapitu"/>
                <w:rFonts w:eastAsia="Arial" w:cs="Calibri" w:ascii="Calibri" w:hAnsi="Calibri"/>
                <w:b/>
                <w:sz w:val="20"/>
                <w:szCs w:val="20"/>
              </w:rPr>
              <w:t>2. Dane osoby upoważnionej do składania wyjaśnień dotyczących oferty</w:t>
            </w:r>
            <w:r>
              <w:rPr>
                <w:rStyle w:val="Domylnaczcionkaakapitu"/>
                <w:rFonts w:eastAsia="Arial" w:cs="Calibri" w:ascii="Calibri" w:hAnsi="Calibri"/>
                <w:sz w:val="18"/>
                <w:szCs w:val="18"/>
              </w:rPr>
              <w:t xml:space="preserve"> (np. imię i nazwisko, numer telefonu, adres poczty elektronicznej)</w:t>
            </w:r>
          </w:p>
        </w:tc>
        <w:tc>
          <w:tcPr>
            <w:tcW w:w="63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rPr>
                <w:rFonts w:ascii="Calibri" w:hAnsi="Calibri" w:eastAsia="Arial" w:cs="Calibr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/>
            </w:pPr>
            <w:r>
              <w:rPr>
                <w:rStyle w:val="Domylnaczcionkaakapitu"/>
                <w:rFonts w:cs="Calibri" w:ascii="Calibri" w:hAnsi="Calibri"/>
                <w:b/>
                <w:sz w:val="21"/>
                <w:szCs w:val="21"/>
              </w:rPr>
              <w:t>Xxx xxx xxx</w:t>
            </w:r>
          </w:p>
          <w:p>
            <w:pPr>
              <w:pStyle w:val="Normal"/>
              <w:rPr/>
            </w:pPr>
            <w:r>
              <w:rPr>
                <w:rStyle w:val="Domylnaczcionkaakapitu"/>
                <w:rFonts w:cs="Calibri" w:ascii="Calibri" w:hAnsi="Calibri"/>
                <w:b/>
                <w:sz w:val="21"/>
                <w:szCs w:val="21"/>
              </w:rPr>
              <w:t>xxx xxx xxx</w:t>
            </w:r>
          </w:p>
          <w:p>
            <w:pPr>
              <w:pStyle w:val="Normal"/>
              <w:rPr/>
            </w:pPr>
            <w:r>
              <w:rPr>
                <w:rStyle w:val="Domylnaczcionkaakapitu"/>
                <w:rFonts w:cs="Calibri" w:ascii="Calibri" w:hAnsi="Calibri"/>
                <w:b/>
                <w:sz w:val="21"/>
                <w:szCs w:val="21"/>
              </w:rPr>
              <w:t>xxx xxx xxx</w:t>
            </w:r>
          </w:p>
          <w:p>
            <w:pPr>
              <w:pStyle w:val="Standard"/>
              <w:rPr>
                <w:rStyle w:val="Hyperlink"/>
                <w:rFonts w:ascii="Calibri" w:hAnsi="Calibri" w:eastAsia="Arial" w:cs="Calibri"/>
                <w:b/>
                <w:sz w:val="21"/>
                <w:szCs w:val="21"/>
              </w:rPr>
            </w:pPr>
            <w:r>
              <w:rPr>
                <w:rFonts w:eastAsia="Arial" w:cs="Calibri" w:ascii="Calibri" w:hAnsi="Calibri"/>
                <w:b/>
                <w:sz w:val="21"/>
                <w:szCs w:val="21"/>
              </w:rPr>
            </w:r>
          </w:p>
        </w:tc>
      </w:tr>
    </w:tbl>
    <w:p>
      <w:pPr>
        <w:pStyle w:val="Normal"/>
        <w:widowControl w:val="false"/>
        <w:tabs>
          <w:tab w:val="clear" w:pos="720"/>
        </w:tabs>
        <w:ind w:hanging="284" w:start="284"/>
        <w:jc w:val="both"/>
        <w:rPr/>
      </w:pPr>
      <w:r>
        <w:rPr>
          <w:rStyle w:val="Domylnaczcionkaakapitu"/>
          <w:rFonts w:cs="Verdana" w:ascii="Calibri" w:hAnsi="Calibri"/>
          <w:b/>
          <w:bCs/>
          <w:color w:val="auto"/>
          <w:sz w:val="22"/>
          <w:szCs w:val="22"/>
        </w:rPr>
        <w:t xml:space="preserve">III. Zakres rzeczowy zadania publicznego </w:t>
      </w:r>
      <w:r>
        <w:rPr>
          <w:rStyle w:val="Domylnaczcionkaakapitu"/>
          <w:rFonts w:cs="Verdana" w:ascii="Calibri" w:hAnsi="Calibri"/>
          <w:color w:val="auto"/>
          <w:sz w:val="20"/>
          <w:szCs w:val="20"/>
        </w:rPr>
        <w:tab/>
      </w:r>
    </w:p>
    <w:tbl>
      <w:tblPr>
        <w:tblW w:w="10875" w:type="dxa"/>
        <w:jc w:val="start"/>
        <w:tblInd w:w="-853" w:type="dxa"/>
        <w:tblLayout w:type="fixed"/>
        <w:tblCellMar>
          <w:top w:w="0" w:type="dxa"/>
          <w:start w:w="113" w:type="dxa"/>
          <w:bottom w:w="0" w:type="dxa"/>
          <w:end w:w="108" w:type="dxa"/>
        </w:tblCellMar>
      </w:tblPr>
      <w:tblGrid>
        <w:gridCol w:w="3825"/>
        <w:gridCol w:w="518"/>
        <w:gridCol w:w="1257"/>
        <w:gridCol w:w="964"/>
        <w:gridCol w:w="989"/>
        <w:gridCol w:w="1261"/>
        <w:gridCol w:w="1818"/>
        <w:gridCol w:w="243"/>
      </w:tblGrid>
      <w:tr>
        <w:trPr>
          <w:trHeight w:val="377" w:hRule="atLeast"/>
        </w:trPr>
        <w:tc>
          <w:tcPr>
            <w:tcW w:w="434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/>
                <w:b/>
                <w:sz w:val="20"/>
                <w:szCs w:val="20"/>
              </w:rPr>
            </w:pPr>
            <w:r>
              <w:rPr>
                <w:rFonts w:eastAsia="Arial" w:cs="Calibri" w:ascii="Calibri" w:hAnsi="Calibr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289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"/>
              <w:rPr>
                <w:rFonts w:ascii="Calibri" w:hAnsi="Calibri" w:eastAsia="Arial" w:cs="Calibri"/>
                <w:b/>
                <w:bCs/>
                <w:sz w:val="21"/>
                <w:szCs w:val="21"/>
              </w:rPr>
            </w:pPr>
            <w:r>
              <w:rPr>
                <w:rFonts w:eastAsia="Arial" w:cs="Calibri" w:ascii="Calibri" w:hAnsi="Calibri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eastAsia="Arial" w:cs="Calibri" w:ascii="Calibri" w:hAnsi="Calibri"/>
                <w:b/>
                <w:bCs/>
                <w:sz w:val="21"/>
                <w:szCs w:val="21"/>
              </w:rPr>
              <w:t>Sympozjum Warsztatów 12 kroków</w:t>
            </w:r>
          </w:p>
          <w:p>
            <w:pPr>
              <w:pStyle w:val="Normal"/>
              <w:rPr>
                <w:rFonts w:ascii="Calibri" w:hAnsi="Calibri" w:eastAsia="Arial" w:cs="Calibri"/>
                <w:b/>
                <w:bCs/>
                <w:sz w:val="21"/>
                <w:szCs w:val="21"/>
              </w:rPr>
            </w:pPr>
            <w:r>
              <w:rPr>
                <w:rFonts w:eastAsia="Arial" w:cs="Calibri" w:ascii="Calibri" w:hAnsi="Calibri"/>
                <w:b/>
                <w:bCs/>
                <w:sz w:val="21"/>
                <w:szCs w:val="21"/>
              </w:rPr>
              <w:t xml:space="preserve"> </w:t>
            </w:r>
            <w:r>
              <w:rPr>
                <w:rFonts w:eastAsia="Arial" w:cs="Calibri" w:ascii="Calibri" w:hAnsi="Calibri"/>
                <w:b/>
                <w:bCs/>
                <w:sz w:val="21"/>
                <w:szCs w:val="21"/>
              </w:rPr>
              <w:t>Wędrowanie z nadzieją drogą 12 kroków</w:t>
            </w:r>
          </w:p>
          <w:p>
            <w:pPr>
              <w:pStyle w:val="Normal"/>
              <w:rPr>
                <w:rFonts w:ascii="Calibri" w:hAnsi="Calibri" w:eastAsia="Arial" w:cs="Calibri"/>
                <w:b/>
                <w:bCs/>
                <w:sz w:val="21"/>
                <w:szCs w:val="21"/>
              </w:rPr>
            </w:pPr>
            <w:r>
              <w:rPr>
                <w:rFonts w:eastAsia="Arial" w:cs="Calibri" w:ascii="Calibri" w:hAnsi="Calibri"/>
                <w:b/>
                <w:bCs/>
                <w:sz w:val="21"/>
                <w:szCs w:val="21"/>
              </w:rPr>
              <w:t xml:space="preserve">  </w:t>
            </w:r>
          </w:p>
        </w:tc>
        <w:tc>
          <w:tcPr>
            <w:tcW w:w="243" w:type="dxa"/>
            <w:tcBorders/>
            <w:shd w:fill="EEECE1" w:val="clear"/>
          </w:tcPr>
          <w:p>
            <w:pPr>
              <w:pStyle w:val="Normal"/>
              <w:ind w:end="113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>
          <w:trHeight w:val="377" w:hRule="atLeast"/>
        </w:trPr>
        <w:tc>
          <w:tcPr>
            <w:tcW w:w="434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rPr/>
            </w:pPr>
            <w:r>
              <w:rPr>
                <w:rStyle w:val="Domylnaczcionkaakapitu"/>
                <w:rFonts w:eastAsia="Arial" w:cs="Calibri" w:ascii="Calibri" w:hAnsi="Calibri"/>
                <w:b/>
                <w:sz w:val="20"/>
                <w:szCs w:val="20"/>
              </w:rPr>
              <w:t>2. Termin realizacji zadania publicznego</w:t>
            </w:r>
            <w:r>
              <w:rPr>
                <w:rStyle w:val="FootnoteReference"/>
                <w:rFonts w:eastAsia="Arial" w:cs="Calibri" w:ascii="Calibri" w:hAnsi="Calibri"/>
                <w:b/>
                <w:sz w:val="20"/>
                <w:szCs w:val="20"/>
              </w:rPr>
              <w:footnoteReference w:id="3"/>
            </w:r>
            <w:r>
              <w:rPr>
                <w:rStyle w:val="Domylnaczcionkaakapitu"/>
                <w:rFonts w:eastAsia="Arial" w:cs="Calibri" w:ascii="Calibri" w:hAnsi="Calibri"/>
                <w:b/>
                <w:position w:val="6"/>
                <w:sz w:val="20"/>
                <w:szCs w:val="20"/>
              </w:rPr>
              <w:t>)</w:t>
            </w:r>
          </w:p>
        </w:tc>
        <w:tc>
          <w:tcPr>
            <w:tcW w:w="125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rPr>
                <w:rFonts w:ascii="Calibri" w:hAnsi="Calibri" w:eastAsia="Arial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>Data rozpoczęcia</w:t>
            </w:r>
          </w:p>
        </w:tc>
        <w:tc>
          <w:tcPr>
            <w:tcW w:w="1953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"/>
              <w:rPr>
                <w:rFonts w:ascii="Calibri" w:hAnsi="Calibri" w:eastAsia="Arial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 xml:space="preserve"> </w:t>
            </w:r>
            <w:r>
              <w:rPr>
                <w:rFonts w:eastAsia="Arial" w:cs="Calibri" w:ascii="Calibri" w:hAnsi="Calibri"/>
                <w:sz w:val="20"/>
                <w:szCs w:val="20"/>
              </w:rPr>
              <w:t>15.01.2026</w:t>
            </w:r>
          </w:p>
        </w:tc>
        <w:tc>
          <w:tcPr>
            <w:tcW w:w="12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rPr>
                <w:rFonts w:ascii="Calibri" w:hAnsi="Calibri" w:eastAsia="Arial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>Data</w:t>
            </w:r>
          </w:p>
          <w:p>
            <w:pPr>
              <w:pStyle w:val="Normal"/>
              <w:rPr>
                <w:rFonts w:ascii="Calibri" w:hAnsi="Calibri" w:eastAsia="Arial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>zakończenia</w:t>
            </w:r>
          </w:p>
        </w:tc>
        <w:tc>
          <w:tcPr>
            <w:tcW w:w="18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FFFFF" w:val="clear"/>
          </w:tcPr>
          <w:p>
            <w:pPr>
              <w:pStyle w:val="Normal"/>
              <w:rPr>
                <w:rFonts w:ascii="Calibri" w:hAnsi="Calibri" w:eastAsia="Arial" w:cs="Calibr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  <w:t>28.02.2026</w:t>
            </w:r>
          </w:p>
        </w:tc>
        <w:tc>
          <w:tcPr>
            <w:tcW w:w="243" w:type="dxa"/>
            <w:tcBorders/>
            <w:shd w:fill="EEECE1" w:val="clea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>
          <w:trHeight w:val="316" w:hRule="atLeast"/>
        </w:trPr>
        <w:tc>
          <w:tcPr>
            <w:tcW w:w="10632" w:type="dxa"/>
            <w:gridSpan w:val="7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DDD9C3" w:val="clear"/>
            <w:tcMar>
              <w:start w:w="0" w:type="dxa"/>
              <w:end w:w="0" w:type="dxa"/>
            </w:tcMar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ind w:hanging="34" w:start="176"/>
              <w:rPr>
                <w:rFonts w:ascii="Calibri" w:hAnsi="Calibri" w:eastAsia="Arial" w:cs="Calibri"/>
                <w:b/>
                <w:bCs/>
                <w:sz w:val="20"/>
                <w:szCs w:val="20"/>
              </w:rPr>
            </w:pPr>
            <w:r>
              <w:rPr>
                <w:rFonts w:eastAsia="Arial" w:cs="Calibri" w:ascii="Calibri" w:hAnsi="Calibri"/>
                <w:b/>
                <w:bCs/>
                <w:sz w:val="20"/>
                <w:szCs w:val="20"/>
              </w:rPr>
              <w:t>3. Syntetyczny opis zadania (wraz ze wskazaniem miejsca jego realizacji)</w:t>
            </w:r>
          </w:p>
        </w:tc>
        <w:tc>
          <w:tcPr>
            <w:tcW w:w="243" w:type="dxa"/>
            <w:tcBorders/>
            <w:shd w:fill="EEECE1" w:val="clea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>
          <w:trHeight w:val="681" w:hRule="atLeast"/>
        </w:trPr>
        <w:tc>
          <w:tcPr>
            <w:tcW w:w="10632" w:type="dxa"/>
            <w:gridSpan w:val="7"/>
            <w:tcBorders>
              <w:top w:val="single" w:sz="8" w:space="0" w:color="000000"/>
              <w:start w:val="single" w:sz="8" w:space="0" w:color="000000"/>
              <w:bottom w:val="single" w:sz="4" w:space="0" w:color="000000"/>
              <w:end w:val="single" w:sz="8" w:space="0" w:color="000000"/>
            </w:tcBorders>
            <w:shd w:fill="EEECE1" w:val="clear"/>
            <w:tcMar>
              <w:start w:w="0" w:type="dxa"/>
              <w:end w:w="0" w:type="dxa"/>
            </w:tcMar>
          </w:tcPr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Zadanie polega na organizacji w dniu 7.02.2026r. </w:t>
            </w: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 xml:space="preserve"> Sympozjum Warsztatów 12 kroków „Wędrowanie z nadzieją drogą 12 kroków ”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>, dedykowanego pamięci ks. prof. Romualda Jaworskiego – inicjatora i pioniera programu „12 kroków - Wreszcie Żyć ” w Polsce. Celem wydarzenia jest prezentacja psychologicznych, terapeutycznych i duchowych aspektów programu, upowszechnianie treści wspierających rozwój osobisty i zdrowie psychiczne oraz integracja środowisk 12-krokowych. Wydarzenie umożliwia wymianę doświadczeń, poszerza wiedzę, a także promuje tę formę wsparcia  w lokalnej społeczności.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Program „12 kroków -Wreszcie Żyć ” to </w:t>
            </w: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roczny proces formacyjno-terapeutyczny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>, inspirowany znanym modelem 12 kroków Anonimowych Alkoholików, ale poszerzony i dostosowany do osób, które nie są uzależnione. Jego celem jest praca nad sobą w bezpiecznej grupie, to głęboki proces samopoznania i uzdrowienia, który pomaga budować zdrowe relacje, rozwija duchowość i uczy radzenia sobie z trudnymi emocjami (jak złość, strach, samotność, obawa przed przemocą). Warsztaty 12-krokowe zmieniają sposób myślenia, oczekiwania i postawy, prowadząc do „pogody ducha”, spokoju i poczucia sensu, poprawiają relacje z innymi poprzez rozwijanie tolerancji, zaufania, szczerości.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Program opiera się na trzech filarach: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1. 12 krokach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integrujących rozwój osobisty, wsparcie psychologiczne i duchowość chrześcijańską oparta na trwałych wartościach;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2. małych grupach wsparcia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prowadzonych przez doświadczonych liderów;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3. regularnej pracy własnej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poprzez spotkania grupowe, zadania domowe, modlitwę i medytację, do których uczestnicy korzystają z  podręcznika opracowanego przez ks. prof. Romualda Jaworskiego.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Program skierowany jest do osób, które: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chcą lepiej zrozumieć siebie i swoje zachowania,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zmagają się z trudnymi emocjami, brakiem poczucia wartości, lękiem, stresem,</w:t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mają trudności w relacjach (rodzinnych, małżeńskich, zawodowych),</w:t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przeżyły zranienia, stratę, kryzys,</w:t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chcą pogłębić duchowość i odbudować system wartości i np. „relację z Bogiem”,</w:t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niekoniecznie mają problem z uzależnieniem,</w:t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doświadczają przemocy fizycznej, emocjonalnej, ekonomicznej.</w:t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Udział w  programie pomaga uczestnikom w :</w:t>
            </w:r>
          </w:p>
          <w:p>
            <w:pPr>
              <w:pStyle w:val="Normal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auto"/>
                <w:sz w:val="20"/>
                <w:szCs w:val="20"/>
              </w:rPr>
              <w:t>- poprawie relacji z samym sobą i z innymi,</w:t>
            </w:r>
          </w:p>
          <w:p>
            <w:pPr>
              <w:pStyle w:val="Normal"/>
              <w:tabs>
                <w:tab w:val="clear" w:pos="720"/>
              </w:tabs>
              <w:spacing w:lineRule="auto" w:line="276" w:before="0" w:after="0"/>
              <w:ind w:start="-283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 xml:space="preserve">       </w:t>
            </w:r>
            <w:r>
              <w:rPr>
                <w:rFonts w:ascii="Calibri" w:hAnsi="Calibri"/>
                <w:color w:val="auto"/>
                <w:sz w:val="20"/>
                <w:szCs w:val="20"/>
              </w:rPr>
              <w:t>- odbudowaniu poczucia wartości,</w:t>
            </w:r>
          </w:p>
          <w:p>
            <w:pPr>
              <w:pStyle w:val="Normal"/>
              <w:tabs>
                <w:tab w:val="clear" w:pos="720"/>
              </w:tabs>
              <w:spacing w:lineRule="auto" w:line="276" w:before="0" w:after="0"/>
              <w:ind w:hanging="57" w:start="57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zrozumieniu schematów, które rządziły ich życiem,</w:t>
            </w:r>
          </w:p>
          <w:p>
            <w:pPr>
              <w:pStyle w:val="Normal"/>
              <w:tabs>
                <w:tab w:val="clear" w:pos="720"/>
              </w:tabs>
              <w:spacing w:lineRule="auto" w:line="276" w:before="0" w:after="0"/>
              <w:ind w:hanging="77" w:start="57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 uwolnieniu się od lęków i destrukcyjnych zachowań,</w:t>
            </w:r>
          </w:p>
          <w:p>
            <w:pPr>
              <w:pStyle w:val="Normal"/>
              <w:tabs>
                <w:tab w:val="clear" w:pos="720"/>
              </w:tabs>
              <w:spacing w:lineRule="auto" w:line="276" w:before="0" w:after="0"/>
              <w:ind w:hanging="57" w:start="57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lepszym radzeniu sobie z emocjami,</w:t>
            </w:r>
          </w:p>
          <w:p>
            <w:pPr>
              <w:pStyle w:val="Normal"/>
              <w:tabs>
                <w:tab w:val="clear" w:pos="720"/>
              </w:tabs>
              <w:spacing w:lineRule="auto" w:line="276" w:before="0" w:after="0"/>
              <w:ind w:start="-57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 xml:space="preserve">  </w:t>
            </w:r>
            <w:r>
              <w:rPr>
                <w:rFonts w:ascii="Calibri" w:hAnsi="Calibri"/>
                <w:color w:val="auto"/>
                <w:sz w:val="20"/>
                <w:szCs w:val="20"/>
              </w:rPr>
              <w:t>- doświadczeniu wspólnoty i akceptacji,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color w:val="auto"/>
                <w:sz w:val="20"/>
                <w:szCs w:val="20"/>
              </w:rPr>
              <w:t>- rozwoju duchowym.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Sympozjum  odpowiada na rosnącą potrzebę wsparcia psychologicznego, emocjonalnego i duchowego mieszkańców miasta i regionu. Coraz więcej osób zmaga się z trudnościami w obszarze relacji, poczucia własnej wartości, stresu, lęku oraz doświadczeniami kryzysów osobistych i rodzinnych. Jednocześnie wiele osób poszukuje bezpiecznego miejsca do rozwoju osobistego oraz sprawdzonych metod odbudowy równowagi emocjonalnej i duchowej.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Zaproszenie na Sympozjum kierowane jest do instytucji państwowych i samorządowych działających w Legionowie w obszarze pomocy społecznej i wsparcia mieszkańców w kryzysach – w szczególności do ośrodków pomocy społecznej, centrum usług społecznych, poradni rodzinnych, organizacji pozarządowych i innych instytucji zajmujących się wspieraniem osób doświadczających trudności życiowych. Uczestnikami mogą być także specjaliści pracujący z osobami w kryzysie: pedagodzy, psychologowie, terapeuci, pracownicy socjalni, asystenci rodziny, kuratorzy, mediatorzy oraz inne osoby zaangażowane w pomoc drugiemu człowiekowi.</w:t>
            </w:r>
          </w:p>
          <w:p>
            <w:pPr>
              <w:pStyle w:val="Heading3"/>
              <w:numPr>
                <w:ilvl w:val="2"/>
                <w:numId w:val="1"/>
              </w:numPr>
              <w:tabs>
                <w:tab w:val="clear" w:pos="720"/>
                <w:tab w:val="left" w:pos="0" w:leader="none"/>
              </w:tabs>
              <w:spacing w:lineRule="auto" w:line="276" w:before="0" w:after="0"/>
              <w:ind w:hanging="0" w:start="0"/>
              <w:rPr/>
            </w:pPr>
            <w:r>
              <w:rPr>
                <w:rStyle w:val="Strong"/>
                <w:rFonts w:ascii="Calibri" w:hAnsi="Calibri"/>
                <w:b/>
                <w:bCs/>
                <w:color w:val="auto"/>
                <w:sz w:val="20"/>
                <w:szCs w:val="20"/>
              </w:rPr>
              <w:t>Program merytoryczny Sympozjum i  i plan godzinowy wydarzenia w dniu 7.02.2026r: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Część I – Wykłady i panele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br/>
            </w: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08:30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– rejestracja uczestników</w:t>
              <w:br/>
            </w: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09:00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– oficjalne rozpoczęcie sympozjum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Panel I – Wykłady tematyczne (09:30–11:45):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-Małgorzata Ziarkiewicz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– </w:t>
            </w:r>
            <w:r>
              <w:rPr>
                <w:rStyle w:val="Uwydatnienie"/>
                <w:rFonts w:ascii="Calibri" w:hAnsi="Calibri"/>
                <w:color w:val="auto"/>
                <w:sz w:val="20"/>
                <w:szCs w:val="20"/>
              </w:rPr>
              <w:t>„O duchowości ignacjańskiej w programie 12 kroków”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-dr Barbara Wangler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– </w:t>
            </w:r>
            <w:r>
              <w:rPr>
                <w:rStyle w:val="Uwydatnienie"/>
                <w:rFonts w:ascii="Calibri" w:hAnsi="Calibri"/>
                <w:color w:val="auto"/>
                <w:sz w:val="20"/>
                <w:szCs w:val="20"/>
              </w:rPr>
              <w:t>„Co to znaczy być nauczycielem, towarzyszem uczestników warsztatów Wreszcie Żyć”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-dr Sylwester Bębas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– </w:t>
            </w:r>
            <w:r>
              <w:rPr>
                <w:rStyle w:val="Uwydatnienie"/>
                <w:rFonts w:ascii="Calibri" w:hAnsi="Calibri"/>
                <w:color w:val="auto"/>
                <w:sz w:val="20"/>
                <w:szCs w:val="20"/>
              </w:rPr>
              <w:t>„Terapeutyczne aspekty programu 12 kroków”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-prof. Dariusz Adamczyk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– </w:t>
            </w:r>
            <w:r>
              <w:rPr>
                <w:rStyle w:val="Uwydatnienie"/>
                <w:rFonts w:ascii="Calibri" w:hAnsi="Calibri"/>
                <w:color w:val="auto"/>
                <w:sz w:val="20"/>
                <w:szCs w:val="20"/>
              </w:rPr>
              <w:t>„Duchowe aspekty programu 12 kroków”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Panel II – Panel dyskusyjny (12:00–13:00)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br/>
              <w:t xml:space="preserve"> Panel moderowany przez osobę prowadzącą będzie przestrzenią, w której zaproszeni  goście podzielą się swoim doświadczeniem uczestnictwa w programie „ 12 kroków” oraz opowiedzą jak im pomógł w życiu, emocjach i relacjach.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Panel III – Wspomnienia i prezentacja dorobku dot, programu warsztatu 12-kroków ks. Romualda Jaworskiego (13:00–13:30)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13:30–14:30 – Przerwa obiadowa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Część II</w:t>
            </w:r>
          </w:p>
          <w:p>
            <w:pPr>
              <w:pStyle w:val="BodyText"/>
              <w:spacing w:lineRule="auto" w:line="276"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15:30 – Msza Święta w Kaplicy w Fundacji Pasja Życia dla chętnych lub dłuższa przerwa kawowa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br/>
            </w:r>
            <w:r>
              <w:rPr>
                <w:rStyle w:val="Strong"/>
                <w:rFonts w:ascii="Calibri" w:hAnsi="Calibri"/>
                <w:b w:val="false"/>
                <w:bCs w:val="false"/>
                <w:color w:val="auto"/>
                <w:sz w:val="20"/>
                <w:szCs w:val="20"/>
              </w:rPr>
              <w:t>16:30 – Spotkanie przedstawicieli środowisk „12-krokowych”</w:t>
            </w:r>
            <w:r>
              <w:rPr>
                <w:rStyle w:val="Domylnaczcionkaakapitu"/>
                <w:rFonts w:ascii="Calibri" w:hAnsi="Calibri"/>
                <w:color w:val="auto"/>
                <w:sz w:val="20"/>
                <w:szCs w:val="20"/>
              </w:rPr>
              <w:t xml:space="preserve"> – czas na integrację, wymianę doświadczeń, nawiązywanie współpracy i budowanie pomostów do współpracy na przyszłość.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Zadanie będzie realizowane :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Część I – Sala Widowiskowa w  Miejskim Ratuszu w Legionowie ul . Piłsudskiego 41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Część II – Fundacja Pasja Życia im Józefy Menendez ul. Strużańska 2B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 xml:space="preserve">W okresie przygotowań  do Sympozjum  jak również w jego trakcie w sprawach organizacyjnych aktywnie uczestniczyć będą wolontariusze – 17 osób.  </w:t>
            </w:r>
          </w:p>
          <w:p>
            <w:pPr>
              <w:pStyle w:val="Heading3"/>
              <w:numPr>
                <w:ilvl w:val="2"/>
                <w:numId w:val="1"/>
              </w:numPr>
              <w:tabs>
                <w:tab w:val="clear" w:pos="720"/>
                <w:tab w:val="left" w:pos="0" w:leader="none"/>
              </w:tabs>
              <w:spacing w:lineRule="auto" w:line="276" w:before="0" w:after="0"/>
              <w:ind w:hanging="0" w:start="0"/>
              <w:rPr/>
            </w:pPr>
            <w:r>
              <w:rPr>
                <w:rStyle w:val="Strong"/>
                <w:rFonts w:ascii="Calibri" w:hAnsi="Calibri"/>
                <w:b/>
                <w:bCs/>
                <w:color w:val="auto"/>
                <w:sz w:val="20"/>
                <w:szCs w:val="20"/>
              </w:rPr>
              <w:t>Cele zadania: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upowszechnienie wiedzy w lokalnej społeczności miasta Legionowa o programie „12 kroków – Wreszcie Żyć”,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- zwiększenie motywacji uczestników do pracy nad sobą i włączenia się w grupy „12 kroków – Wreszcie Żyć”</w:t>
            </w:r>
          </w:p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- zwiększenie świadomości uczestników na temat znaczenia rozwoju emocjonalnego, duchowego i relacyjnego,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edukacja w obszarze zdrowia psychicznego, emocjonalnego i duchowego,</w:t>
            </w:r>
          </w:p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- inspirowanie do podejmowania dalszych działań rozwojowych i terapeutycznych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wzmacnianie kompetencji liderów grup wsparcia,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integracja środowiska i wymiana doświadczeń,</w:t>
            </w:r>
          </w:p>
          <w:p>
            <w:pPr>
              <w:pStyle w:val="BodyText"/>
              <w:spacing w:lineRule="auto" w:line="276" w:before="0" w:after="0"/>
              <w:rPr>
                <w:rFonts w:ascii="Calibri" w:hAnsi="Calibri"/>
                <w:color w:val="auto"/>
                <w:sz w:val="20"/>
                <w:szCs w:val="20"/>
              </w:rPr>
            </w:pPr>
            <w:r>
              <w:rPr>
                <w:rFonts w:ascii="Calibri" w:hAnsi="Calibri"/>
                <w:color w:val="auto"/>
                <w:sz w:val="20"/>
                <w:szCs w:val="20"/>
              </w:rPr>
              <w:t>- wsparcie mieszkańców w obszarze rozwoju osobistego, pracy nad emocjami i budowania relacji.</w:t>
            </w:r>
          </w:p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- stworzenie przestrzeni do rozmowy, refleksji i wymiany doświadczeń w obszarze wsparcia emocjonalnego i duchowego,</w:t>
            </w:r>
          </w:p>
          <w:p>
            <w:pPr>
              <w:pStyle w:val="BodyText"/>
              <w:spacing w:lineRule="auto" w:line="276" w:before="0" w:after="0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- zachęcenie nowych osób do zapoznania się z literaturą psychologiczną pozostawioną przez ks. prof. R. Jaworskiego.</w:t>
            </w:r>
          </w:p>
        </w:tc>
        <w:tc>
          <w:tcPr>
            <w:tcW w:w="243" w:type="dxa"/>
            <w:tcBorders/>
            <w:shd w:fill="EEECE1" w:val="clear"/>
          </w:tcPr>
          <w:p>
            <w:pPr>
              <w:pStyle w:val="Normal"/>
              <w:rPr>
                <w:rFonts w:ascii="Calibri" w:hAnsi="Calibri"/>
              </w:rPr>
            </w:pPr>
            <w:r>
              <w:rPr>
                <w:rFonts w:ascii="Calibri" w:hAnsi="Calibri"/>
              </w:rPr>
            </w:r>
          </w:p>
        </w:tc>
      </w:tr>
      <w:tr>
        <w:trPr/>
        <w:tc>
          <w:tcPr>
            <w:tcW w:w="10875" w:type="dxa"/>
            <w:gridSpan w:val="8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tabs>
                <w:tab w:val="clear" w:pos="720"/>
              </w:tabs>
              <w:ind w:hanging="283" w:start="317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  <w:t>4. Opis zakładanych rezultatów realizacji zadania publicznego</w:t>
            </w:r>
          </w:p>
        </w:tc>
      </w:tr>
      <w:tr>
        <w:trPr/>
        <w:tc>
          <w:tcPr>
            <w:tcW w:w="38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39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31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>
        <w:trPr/>
        <w:tc>
          <w:tcPr>
            <w:tcW w:w="38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Uczestnicy Sympozjum</w:t>
            </w:r>
          </w:p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739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60 osób (+/- 10%)</w:t>
            </w:r>
          </w:p>
        </w:tc>
        <w:tc>
          <w:tcPr>
            <w:tcW w:w="431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Lista obecności</w:t>
            </w:r>
          </w:p>
        </w:tc>
      </w:tr>
      <w:tr>
        <w:trPr/>
        <w:tc>
          <w:tcPr>
            <w:tcW w:w="382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Wygłoszone wykłady i panele:</w:t>
            </w:r>
          </w:p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4 wykłady</w:t>
            </w:r>
          </w:p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panel dyskusyjny</w:t>
            </w:r>
          </w:p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panel wspomnieniowy</w:t>
            </w:r>
          </w:p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część integracyjna</w:t>
            </w:r>
          </w:p>
        </w:tc>
        <w:tc>
          <w:tcPr>
            <w:tcW w:w="2739" w:type="dxa"/>
            <w:gridSpan w:val="3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7 wystąpień</w:t>
            </w:r>
          </w:p>
        </w:tc>
        <w:tc>
          <w:tcPr>
            <w:tcW w:w="4311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Program wydarzenia,</w:t>
            </w:r>
          </w:p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lista prelegentów</w:t>
            </w:r>
          </w:p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</w:r>
          </w:p>
        </w:tc>
      </w:tr>
      <w:tr>
        <w:trPr/>
        <w:tc>
          <w:tcPr>
            <w:tcW w:w="382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tabs>
                <w:tab w:val="clear" w:pos="720"/>
              </w:tabs>
              <w:ind w:start="-340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 xml:space="preserve">      </w:t>
            </w:r>
            <w:r>
              <w:rPr>
                <w:rFonts w:cs="Calibri" w:ascii="Calibri" w:hAnsi="Calibri"/>
                <w:color w:val="auto"/>
                <w:sz w:val="20"/>
                <w:szCs w:val="20"/>
              </w:rPr>
              <w:t>Promocja wydarzenia</w:t>
            </w:r>
          </w:p>
        </w:tc>
        <w:tc>
          <w:tcPr>
            <w:tcW w:w="2739" w:type="dxa"/>
            <w:gridSpan w:val="3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</w:r>
          </w:p>
        </w:tc>
        <w:tc>
          <w:tcPr>
            <w:tcW w:w="4311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color w:val="auto"/>
                <w:sz w:val="20"/>
                <w:szCs w:val="20"/>
              </w:rPr>
              <w:t>Dokumentacja fotograficzna, umieszczenie na stronie FB, plakaty,</w:t>
            </w:r>
          </w:p>
        </w:tc>
      </w:tr>
    </w:tbl>
    <w:p>
      <w:pPr>
        <w:pStyle w:val="Normal"/>
        <w:widowControl w:val="false"/>
        <w:tabs>
          <w:tab w:val="clear" w:pos="720"/>
          <w:tab w:val="left" w:pos="5625" w:leader="none"/>
        </w:tabs>
        <w:jc w:val="both"/>
        <w:rPr>
          <w:rFonts w:ascii="Calibri" w:hAnsi="Calibri" w:cs="Verdana"/>
          <w:color w:val="auto"/>
          <w:sz w:val="16"/>
          <w:szCs w:val="16"/>
        </w:rPr>
      </w:pPr>
      <w:r>
        <w:rPr>
          <w:rFonts w:cs="Verdana" w:ascii="Calibri" w:hAnsi="Calibri"/>
          <w:color w:val="auto"/>
          <w:sz w:val="16"/>
          <w:szCs w:val="16"/>
        </w:rPr>
      </w:r>
    </w:p>
    <w:tbl>
      <w:tblPr>
        <w:tblW w:w="10711" w:type="dxa"/>
        <w:jc w:val="start"/>
        <w:tblInd w:w="-723" w:type="dxa"/>
        <w:tblLayout w:type="fixed"/>
        <w:tblCellMar>
          <w:top w:w="0" w:type="dxa"/>
          <w:start w:w="10" w:type="dxa"/>
          <w:bottom w:w="0" w:type="dxa"/>
          <w:end w:w="10" w:type="dxa"/>
        </w:tblCellMar>
      </w:tblPr>
      <w:tblGrid>
        <w:gridCol w:w="10711"/>
      </w:tblGrid>
      <w:tr>
        <w:trPr>
          <w:trHeight w:val="374" w:hRule="atLeast"/>
        </w:trPr>
        <w:tc>
          <w:tcPr>
            <w:tcW w:w="10711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8" w:space="0" w:color="000000"/>
            </w:tcBorders>
            <w:shd w:fill="DDD9C3" w:val="clear"/>
            <w:vAlign w:val="center"/>
          </w:tcPr>
          <w:p>
            <w:pPr>
              <w:pStyle w:val="Normal"/>
              <w:tabs>
                <w:tab w:val="clear" w:pos="720"/>
              </w:tabs>
              <w:ind w:hanging="283" w:start="317"/>
              <w:jc w:val="both"/>
              <w:rPr>
                <w:rFonts w:ascii="Calibri" w:hAnsi="Calibri" w:cs="Calibri"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  <w:t>5. Krótka charakterystyka Oferenta, jego doświadczenia w realizacji działań planowanych w ofercie oraz zasobów, które będą wykorzystane w realizacji zadania</w:t>
            </w:r>
          </w:p>
        </w:tc>
      </w:tr>
      <w:tr>
        <w:trPr>
          <w:trHeight w:val="999" w:hRule="atLeast"/>
        </w:trPr>
        <w:tc>
          <w:tcPr>
            <w:tcW w:w="10711" w:type="dxa"/>
            <w:tcBorders>
              <w:top w:val="single" w:sz="8" w:space="0" w:color="000000"/>
              <w:start w:val="single" w:sz="8" w:space="0" w:color="000000"/>
              <w:bottom w:val="single" w:sz="4" w:space="0" w:color="000000"/>
              <w:end w:val="single" w:sz="8" w:space="0" w:color="000000"/>
            </w:tcBorders>
          </w:tcPr>
          <w:p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Fundacja Pasja Życia im. s. Józefy Menendez działa od 2006 roku i została powołana przez terapeutów uzależnień oraz psychologów, aby przeciwdziałać uzależnieniom i wspierać osoby wracające do pełni życia po zakończonej terapii. Jednym z kluczowych osiągnięć Fundacji jest budowa i prowadzenie Młodzieżowego Centrum Rozwoju Duchowego i Artystycznego w Legionowie przy ul. Strużańskiej 2B, w którym funkcjonuje punkt psychologiczno-terapeutyczny, część profilaktyczna oraz hostelowa.</w:t>
            </w:r>
          </w:p>
          <w:p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Fundacja od lat realizuje działania edukacyjne, terapeutyczne i profilaktyczne zgodne z celami statutowymi, obejmującymi m.in. przeciwdziałanie uzależnieniom, wspieranie rozwoju emocjonalnego, edukację zdrowotną, pomoc rodzinom w kryzysie oraz promocję zdrowia psychicznego i trzeźwości.</w:t>
            </w:r>
          </w:p>
          <w:p>
            <w:pPr>
              <w:pStyle w:val="Normal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Pierwszą działalnością Fundacji Pasja Życia na terenie Legionowa było prowadzenie grup „12 Kroków ku pełni życia” czyli programu „Wreszcie żyć”. W  2009 roku, gdy rozpoczęto budowę  Centrum  grupy już działały. Dzięki życzliwości Urzędu Miasta Legionowa Fundacji udostępniono  lokal przy ul. 3 Maja 24 , gdzie mieściła się siedziba Fundacji oraz gdzie prowadzone były  zajęcia edukacyjne dotyczące osobistego rozwoju i nabór do grup 12 kroków. Drugim miejscem gdzie również prowadzone były  warsztaty rozwoju osobistego była Poradnia Rodzinna przy Parafii Św. Jana Kantego w Legionowie.</w:t>
            </w:r>
          </w:p>
          <w:p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Obecnie w Centrum przy ul. Strużańskiej 2B Fundacja prowadzi dwie grupy 12 kroków, a kolejną planuje uruchomić w roku 2026. </w:t>
              <w:br/>
              <w:t>W ostatnim czasie  również dwie grupy ukończyły warsztaty, co potwierdza skuteczność i zapotrzebowanie na tego typu działania.</w:t>
            </w:r>
          </w:p>
          <w:p>
            <w:pPr>
              <w:pStyle w:val="BodyText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Zasoby , które będą wykorzystane w realizacji zadania:</w:t>
            </w:r>
          </w:p>
          <w:p>
            <w:pPr>
              <w:pStyle w:val="BodyText"/>
              <w:spacing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sz w:val="20"/>
                <w:szCs w:val="20"/>
              </w:rPr>
              <w:t>1. Zasoby ludzkie (wolontariackie i organizacyjne):</w:t>
            </w:r>
          </w:p>
          <w:p>
            <w:pPr>
              <w:pStyle w:val="BodyText"/>
              <w:spacing w:before="0" w:after="0"/>
              <w:rPr/>
            </w:pPr>
            <w:r>
              <w:rPr>
                <w:rStyle w:val="Domylnaczcionkaakapitu"/>
                <w:rFonts w:ascii="Calibri" w:hAnsi="Calibri"/>
                <w:sz w:val="20"/>
                <w:szCs w:val="20"/>
              </w:rPr>
              <w:t xml:space="preserve">– </w:t>
            </w:r>
            <w:r>
              <w:rPr>
                <w:rStyle w:val="Domylnaczcionkaakapitu"/>
                <w:rFonts w:ascii="Calibri" w:hAnsi="Calibri"/>
                <w:sz w:val="20"/>
                <w:szCs w:val="20"/>
              </w:rPr>
              <w:t>wolontariusze Fundacji Pasja Życia odpowiedzialni za obsługę techniczną,  organizacyjną, administracyjną, logistykę, rejestrację uczestników i obsługę gości,</w:t>
              <w:br/>
              <w:t>– członkowie Fundacji wspierający przygotowanie i koordynację sympozjum,</w:t>
              <w:br/>
              <w:t>– paneliści biorący udział w części II Sympozjum w ramach wolontariatu,</w:t>
              <w:br/>
              <w:t>– wolontariusze z Fundacji „12 Kroków” z Lublina zaangażowani będą w pomoc organizacyjną i merytoryczną,</w:t>
            </w:r>
          </w:p>
          <w:p>
            <w:pPr>
              <w:pStyle w:val="BodyText"/>
              <w:spacing w:before="0" w:after="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sz w:val="20"/>
                <w:szCs w:val="20"/>
              </w:rPr>
              <w:t>2. Zasoby infrastrukturalne:</w:t>
            </w:r>
          </w:p>
          <w:p>
            <w:pPr>
              <w:pStyle w:val="BodyText"/>
              <w:spacing w:before="0" w:after="0"/>
              <w:rPr/>
            </w:pPr>
            <w:r>
              <w:rPr>
                <w:rStyle w:val="Domylnaczcionkaakapitu"/>
                <w:rFonts w:ascii="Calibri" w:hAnsi="Calibri"/>
                <w:sz w:val="20"/>
                <w:szCs w:val="20"/>
              </w:rPr>
              <w:t xml:space="preserve">– </w:t>
            </w:r>
            <w:r>
              <w:rPr>
                <w:rStyle w:val="Domylnaczcionkaakapitu"/>
                <w:rFonts w:ascii="Calibri" w:hAnsi="Calibri"/>
                <w:sz w:val="20"/>
                <w:szCs w:val="20"/>
              </w:rPr>
              <w:t xml:space="preserve">sala widowiskowa udostępniona w ramach współpracy przez Miejski Ośrodek Kultury w Legionowie (miejsce realizacji I części Sympozjum ) </w:t>
              <w:br/>
              <w:t>– pomieszczenia  Fundacji Pasja Życia przy ul. Strużańskiej 2B :</w:t>
            </w:r>
          </w:p>
          <w:p>
            <w:pPr>
              <w:pStyle w:val="BodyText"/>
              <w:spacing w:before="0" w:after="0"/>
              <w:rPr/>
            </w:pPr>
            <w:r>
              <w:rPr>
                <w:rStyle w:val="Domylnaczcionkaakapitu"/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Style w:val="Domylnaczcionkaakapitu"/>
                <w:rFonts w:ascii="Calibri" w:hAnsi="Calibri"/>
                <w:sz w:val="20"/>
                <w:szCs w:val="20"/>
              </w:rPr>
              <w:t>-Cafe Pasja -  miejsce II części Sympozjum</w:t>
            </w:r>
          </w:p>
          <w:p>
            <w:pPr>
              <w:pStyle w:val="BodyText"/>
              <w:spacing w:before="0" w:after="0"/>
              <w:rPr/>
            </w:pPr>
            <w:r>
              <w:rPr>
                <w:rStyle w:val="Domylnaczcionkaakapitu"/>
                <w:rFonts w:ascii="Calibri" w:hAnsi="Calibri"/>
                <w:sz w:val="20"/>
                <w:szCs w:val="20"/>
              </w:rPr>
              <w:t>- Kaplica – Msza Święta,</w:t>
            </w:r>
          </w:p>
          <w:p>
            <w:pPr>
              <w:pStyle w:val="BodyText"/>
              <w:spacing w:before="0" w:after="0"/>
              <w:rPr/>
            </w:pPr>
            <w:r>
              <w:rPr>
                <w:rStyle w:val="Domylnaczcionkaakapitu"/>
                <w:rFonts w:ascii="Calibri" w:hAnsi="Calibri"/>
                <w:sz w:val="20"/>
                <w:szCs w:val="20"/>
              </w:rPr>
              <w:t xml:space="preserve">- zaplecze administracyjne wykorzystywane do przygotowania materiałów, spotkań organizacyjnych i obsługi projektu, </w:t>
              <w:br/>
              <w:t>- sprzęt techniczny –  projektor multimedialny</w:t>
            </w:r>
          </w:p>
          <w:p>
            <w:pPr>
              <w:pStyle w:val="BodyText"/>
              <w:suppressAutoHyphens w:val="true"/>
              <w:spacing w:before="0" w:after="120"/>
              <w:rPr/>
            </w:pPr>
            <w:r>
              <w:rPr>
                <w:rStyle w:val="Strong"/>
                <w:rFonts w:ascii="Calibri" w:hAnsi="Calibri"/>
                <w:b w:val="false"/>
                <w:bCs w:val="false"/>
                <w:sz w:val="20"/>
                <w:szCs w:val="20"/>
              </w:rPr>
              <w:t>3. Zasoby organizacyjne i doświadczenie:</w:t>
            </w:r>
            <w:r>
              <w:rPr>
                <w:rStyle w:val="Domylnaczcionkaakapitu"/>
                <w:rFonts w:ascii="Calibri" w:hAnsi="Calibri"/>
                <w:sz w:val="20"/>
                <w:szCs w:val="20"/>
              </w:rPr>
              <w:br/>
              <w:t>– wieloletnia praktyka Fundacji w organizowaniu warsztatów rozwojowych,</w:t>
              <w:br/>
              <w:t>– doświadczenie w prowadzeniu cyklicznych szkoleń i programów profilaktycznych,</w:t>
              <w:br/>
              <w:t>– organizacja wydarzeń kulturalnych i edukacyjnych (koncerty, spotkania, panele, wykłady),</w:t>
              <w:br/>
              <w:t>– współpraca z instytucjami samorządowymi i  oraz innymi fundacjami ,</w:t>
              <w:br/>
              <w:t>– sprawdzony zespół wolontariuszy .</w:t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tabs>
          <w:tab w:val="clear" w:pos="720"/>
        </w:tabs>
        <w:ind w:hanging="284" w:start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  <w:t>IV.</w:t>
        <w:tab/>
        <w:t>Szacunkowa kalkulacja kosztów realizacji zadania publicznego</w:t>
      </w:r>
    </w:p>
    <w:p>
      <w:pPr>
        <w:pStyle w:val="Normal"/>
        <w:ind w:end="567"/>
        <w:rPr>
          <w:rFonts w:ascii="Calibri" w:hAnsi="Calibri"/>
          <w:i/>
          <w:i/>
          <w:sz w:val="20"/>
        </w:rPr>
      </w:pPr>
      <w:r>
        <w:rPr>
          <w:rFonts w:ascii="Calibri" w:hAnsi="Calibri"/>
          <w:i/>
          <w:sz w:val="20"/>
        </w:rPr>
      </w:r>
    </w:p>
    <w:tbl>
      <w:tblPr>
        <w:tblW w:w="7654" w:type="dxa"/>
        <w:jc w:val="center"/>
        <w:tblInd w:w="0" w:type="dxa"/>
        <w:tblLayout w:type="fixed"/>
        <w:tblCellMar>
          <w:top w:w="0" w:type="dxa"/>
          <w:start w:w="113" w:type="dxa"/>
          <w:bottom w:w="0" w:type="dxa"/>
          <w:end w:w="108" w:type="dxa"/>
        </w:tblCellMar>
      </w:tblPr>
      <w:tblGrid>
        <w:gridCol w:w="848"/>
        <w:gridCol w:w="3406"/>
        <w:gridCol w:w="985"/>
        <w:gridCol w:w="1279"/>
        <w:gridCol w:w="1136"/>
      </w:tblGrid>
      <w:tr>
        <w:trPr>
          <w:trHeight w:val="562" w:hRule="atLeast"/>
        </w:trPr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jc w:val="center"/>
              <w:rPr>
                <w:rFonts w:ascii="Calibri" w:hAnsi="Calibri" w:eastAsia="Calibri"/>
                <w:b/>
                <w:sz w:val="20"/>
                <w:szCs w:val="22"/>
                <w:lang w:eastAsia="en-US"/>
              </w:rPr>
            </w:pPr>
            <w:r>
              <w:rPr>
                <w:rFonts w:eastAsia="Calibri" w:ascii="Calibri" w:hAnsi="Calibri"/>
                <w:b/>
                <w:sz w:val="20"/>
                <w:szCs w:val="22"/>
                <w:lang w:eastAsia="en-US"/>
              </w:rPr>
              <w:t>Lp.</w:t>
            </w:r>
          </w:p>
        </w:tc>
        <w:tc>
          <w:tcPr>
            <w:tcW w:w="34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jc w:val="center"/>
              <w:rPr>
                <w:rFonts w:ascii="Calibri" w:hAnsi="Calibri" w:eastAsia="Calibri"/>
                <w:b/>
                <w:sz w:val="20"/>
                <w:szCs w:val="22"/>
                <w:lang w:eastAsia="en-US"/>
              </w:rPr>
            </w:pPr>
            <w:r>
              <w:rPr>
                <w:rFonts w:eastAsia="Calibri" w:ascii="Calibri" w:hAnsi="Calibri"/>
                <w:b/>
                <w:sz w:val="20"/>
                <w:szCs w:val="22"/>
                <w:lang w:eastAsia="en-US"/>
              </w:rPr>
              <w:t>Rodzaj kosztu</w:t>
            </w:r>
          </w:p>
        </w:tc>
        <w:tc>
          <w:tcPr>
            <w:tcW w:w="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jc w:val="center"/>
              <w:rPr>
                <w:rFonts w:ascii="Calibri" w:hAnsi="Calibri" w:eastAsia="Calibri"/>
                <w:b/>
                <w:sz w:val="20"/>
                <w:szCs w:val="22"/>
                <w:lang w:eastAsia="en-US"/>
              </w:rPr>
            </w:pPr>
            <w:r>
              <w:rPr>
                <w:rFonts w:eastAsia="Calibri" w:ascii="Calibri" w:hAnsi="Calibri"/>
                <w:b/>
                <w:sz w:val="20"/>
                <w:szCs w:val="22"/>
                <w:lang w:eastAsia="en-US"/>
              </w:rPr>
              <w:t>Wartość PLN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jc w:val="center"/>
              <w:rPr>
                <w:rFonts w:ascii="Calibri" w:hAnsi="Calibri" w:eastAsia="Calibri"/>
                <w:b/>
                <w:sz w:val="20"/>
                <w:szCs w:val="22"/>
                <w:lang w:eastAsia="en-US"/>
              </w:rPr>
            </w:pPr>
            <w:r>
              <w:rPr>
                <w:rFonts w:eastAsia="Calibri" w:ascii="Calibri" w:hAnsi="Calibri"/>
                <w:b/>
                <w:sz w:val="20"/>
                <w:szCs w:val="22"/>
                <w:lang w:eastAsia="en-US"/>
              </w:rPr>
              <w:t>Z dotacji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jc w:val="center"/>
              <w:rPr>
                <w:rFonts w:ascii="Calibri" w:hAnsi="Calibri" w:eastAsia="Calibri"/>
                <w:b/>
                <w:sz w:val="20"/>
                <w:szCs w:val="22"/>
                <w:lang w:eastAsia="en-US"/>
              </w:rPr>
            </w:pPr>
            <w:r>
              <w:rPr>
                <w:rFonts w:eastAsia="Calibri" w:ascii="Calibri" w:hAnsi="Calibri"/>
                <w:b/>
                <w:sz w:val="20"/>
                <w:szCs w:val="22"/>
                <w:lang w:eastAsia="en-US"/>
              </w:rPr>
              <w:t>Z innych źródeł</w:t>
            </w:r>
          </w:p>
        </w:tc>
      </w:tr>
      <w:tr>
        <w:trPr/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1.</w:t>
            </w:r>
          </w:p>
        </w:tc>
        <w:tc>
          <w:tcPr>
            <w:tcW w:w="34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Wynagrodzenie prelegentów 4 os.x 1000zł</w:t>
            </w:r>
          </w:p>
        </w:tc>
        <w:tc>
          <w:tcPr>
            <w:tcW w:w="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4000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</w:tr>
      <w:tr>
        <w:trPr/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2.</w:t>
            </w:r>
          </w:p>
        </w:tc>
        <w:tc>
          <w:tcPr>
            <w:tcW w:w="34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Wynagrodzenie konferansjerów 2os. x 500zł</w:t>
            </w:r>
          </w:p>
        </w:tc>
        <w:tc>
          <w:tcPr>
            <w:tcW w:w="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1000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</w:tr>
      <w:tr>
        <w:trPr/>
        <w:tc>
          <w:tcPr>
            <w:tcW w:w="84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3</w:t>
            </w:r>
          </w:p>
        </w:tc>
        <w:tc>
          <w:tcPr>
            <w:tcW w:w="340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Zakup artykułów spożywczych i napoi dla uczestników na poczęstunek podczas przerw</w:t>
            </w:r>
          </w:p>
        </w:tc>
        <w:tc>
          <w:tcPr>
            <w:tcW w:w="98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2400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</w:tr>
      <w:tr>
        <w:trPr/>
        <w:tc>
          <w:tcPr>
            <w:tcW w:w="84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4</w:t>
            </w:r>
          </w:p>
        </w:tc>
        <w:tc>
          <w:tcPr>
            <w:tcW w:w="340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Obiad dla zaproszonych gości i prelegentów 40 os. x 40zł</w:t>
            </w:r>
            <w:r>
              <w:rPr>
                <w:rFonts w:eastAsia="Calibri" w:cs="Calibri" w:ascii="Calibri" w:hAnsi="Calibri"/>
                <w:sz w:val="20"/>
                <w:szCs w:val="22"/>
                <w:vertAlign w:val="superscript"/>
                <w:lang w:eastAsia="en-US"/>
              </w:rPr>
              <w:t>*</w:t>
            </w:r>
          </w:p>
        </w:tc>
        <w:tc>
          <w:tcPr>
            <w:tcW w:w="98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1600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</w:tr>
      <w:tr>
        <w:trPr/>
        <w:tc>
          <w:tcPr>
            <w:tcW w:w="84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5.</w:t>
            </w:r>
          </w:p>
        </w:tc>
        <w:tc>
          <w:tcPr>
            <w:tcW w:w="340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Materiały promocyjne i organizacyjne</w:t>
            </w:r>
          </w:p>
        </w:tc>
        <w:tc>
          <w:tcPr>
            <w:tcW w:w="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660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</w:tr>
      <w:tr>
        <w:trPr/>
        <w:tc>
          <w:tcPr>
            <w:tcW w:w="848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6.</w:t>
            </w:r>
          </w:p>
        </w:tc>
        <w:tc>
          <w:tcPr>
            <w:tcW w:w="340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Upominki dla prelegentów i panelistów 9 os. x 60zł</w:t>
            </w:r>
          </w:p>
        </w:tc>
        <w:tc>
          <w:tcPr>
            <w:tcW w:w="985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540</w:t>
            </w:r>
          </w:p>
        </w:tc>
        <w:tc>
          <w:tcPr>
            <w:tcW w:w="1279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BFBFBF" w:val="clear"/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</w:r>
          </w:p>
        </w:tc>
      </w:tr>
      <w:tr>
        <w:trPr/>
        <w:tc>
          <w:tcPr>
            <w:tcW w:w="425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9C3" w:val="clear"/>
          </w:tcPr>
          <w:p>
            <w:pPr>
              <w:pStyle w:val="Normal"/>
              <w:rPr>
                <w:rFonts w:ascii="Calibri" w:hAnsi="Calibri" w:eastAsia="Calibri" w:cs="Calibri"/>
                <w:sz w:val="20"/>
                <w:szCs w:val="22"/>
                <w:lang w:eastAsia="en-US"/>
              </w:rPr>
            </w:pPr>
            <w:r>
              <w:rPr>
                <w:rFonts w:eastAsia="Calibri" w:cs="Calibri" w:ascii="Calibri" w:hAnsi="Calibri"/>
                <w:sz w:val="20"/>
                <w:szCs w:val="22"/>
                <w:lang w:eastAsia="en-US"/>
              </w:rPr>
              <w:t>Suma wszystkich kosztów realizacji zadania</w:t>
            </w:r>
          </w:p>
        </w:tc>
        <w:tc>
          <w:tcPr>
            <w:tcW w:w="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10.200</w:t>
            </w:r>
          </w:p>
        </w:tc>
        <w:tc>
          <w:tcPr>
            <w:tcW w:w="12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10.000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rFonts w:ascii="Calibri" w:hAnsi="Calibri" w:eastAsia="Calibri"/>
                <w:sz w:val="18"/>
                <w:szCs w:val="22"/>
                <w:lang w:eastAsia="en-US"/>
              </w:rPr>
            </w:pPr>
            <w:r>
              <w:rPr>
                <w:rFonts w:eastAsia="Calibri" w:ascii="Calibri" w:hAnsi="Calibri"/>
                <w:sz w:val="18"/>
                <w:szCs w:val="22"/>
                <w:lang w:eastAsia="en-US"/>
              </w:rPr>
              <w:t>200</w:t>
            </w:r>
          </w:p>
        </w:tc>
      </w:tr>
    </w:tbl>
    <w:p>
      <w:pPr>
        <w:pStyle w:val="Normal"/>
        <w:widowControl w:val="false"/>
        <w:tabs>
          <w:tab w:val="clear" w:pos="720"/>
        </w:tabs>
        <w:ind w:hanging="284" w:start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  <w:tab/>
      </w:r>
      <w:r>
        <w:rPr>
          <w:rFonts w:cs="Verdana" w:ascii="Calibri" w:hAnsi="Calibri"/>
          <w:b w:val="false"/>
          <w:bCs w:val="false"/>
          <w:color w:val="auto"/>
          <w:sz w:val="18"/>
          <w:szCs w:val="18"/>
        </w:rPr>
        <w:t>* obiad przewidziany jest dla prelegentów, gości zaproszonych przez fundacje oraz wolontariuszy</w:t>
      </w:r>
    </w:p>
    <w:p>
      <w:pPr>
        <w:pStyle w:val="Normal"/>
        <w:widowControl w:val="false"/>
        <w:tabs>
          <w:tab w:val="clear" w:pos="720"/>
        </w:tabs>
        <w:ind w:hanging="284" w:start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  <w:t>V.</w:t>
        <w:tab/>
        <w:t>Oświadczenia</w:t>
      </w:r>
    </w:p>
    <w:p>
      <w:pPr>
        <w:pStyle w:val="Normal"/>
        <w:widowControl w:val="false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  <w:t>Oświadczam(-my), że:</w:t>
      </w:r>
    </w:p>
    <w:p>
      <w:pPr>
        <w:pStyle w:val="Normal"/>
        <w:widowControl w:val="false"/>
        <w:tabs>
          <w:tab w:val="clear" w:pos="720"/>
          <w:tab w:val="left" w:pos="568" w:leader="none"/>
        </w:tabs>
        <w:ind w:hanging="284" w:start="284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  <w:t>1)</w:t>
        <w:tab/>
        <w:t xml:space="preserve">proponowane zadanie publiczne będzie realizowane wyłącznie w zakresie działalności pożytku publicznego </w:t>
        <w:br/>
        <w:t>oferenta(-tów);</w:t>
      </w:r>
    </w:p>
    <w:p>
      <w:pPr>
        <w:pStyle w:val="Normal"/>
        <w:widowControl w:val="false"/>
        <w:tabs>
          <w:tab w:val="clear" w:pos="720"/>
          <w:tab w:val="left" w:pos="568" w:leader="none"/>
        </w:tabs>
        <w:ind w:hanging="284" w:start="284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  <w:t>2)</w:t>
        <w:tab/>
        <w:t>pobieranie świadczeń pieniężnych będzie się odbywać wyłącznie w ramach prowadzonej odpłatnej działalności pożytku publicznego;</w:t>
      </w:r>
    </w:p>
    <w:p>
      <w:pPr>
        <w:pStyle w:val="Normal"/>
        <w:widowControl w:val="false"/>
        <w:tabs>
          <w:tab w:val="clear" w:pos="720"/>
          <w:tab w:val="left" w:pos="568" w:leader="none"/>
        </w:tabs>
        <w:ind w:hanging="284" w:start="284"/>
        <w:jc w:val="both"/>
        <w:rPr/>
      </w:pP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>3)</w:t>
        <w:tab/>
        <w:t>oferent* /</w:t>
      </w:r>
      <w:r>
        <w:rPr>
          <w:rStyle w:val="Domylnaczcionkaakapitu"/>
          <w:rFonts w:cs="Verdana" w:ascii="Calibri" w:hAnsi="Calibri"/>
          <w:strike/>
          <w:color w:val="auto"/>
          <w:sz w:val="18"/>
          <w:szCs w:val="18"/>
        </w:rPr>
        <w:t xml:space="preserve"> oferenci*</w:t>
      </w: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 xml:space="preserve"> składający niniejszą ofertę nie zalega(-ją)* /</w:t>
      </w:r>
      <w:r>
        <w:rPr>
          <w:rStyle w:val="Domylnaczcionkaakapitu"/>
          <w:rFonts w:cs="Verdana" w:ascii="Calibri" w:hAnsi="Calibri"/>
          <w:strike/>
          <w:color w:val="auto"/>
          <w:sz w:val="18"/>
          <w:szCs w:val="18"/>
        </w:rPr>
        <w:t xml:space="preserve"> zalega(-ją)*</w:t>
      </w: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 xml:space="preserve"> z opłacaniem należności z tytułu zobowiązań podatkowych;</w:t>
      </w:r>
    </w:p>
    <w:p>
      <w:pPr>
        <w:pStyle w:val="Normal"/>
        <w:widowControl w:val="false"/>
        <w:tabs>
          <w:tab w:val="clear" w:pos="720"/>
          <w:tab w:val="left" w:pos="568" w:leader="none"/>
        </w:tabs>
        <w:ind w:hanging="284" w:start="284"/>
        <w:jc w:val="both"/>
        <w:rPr/>
      </w:pP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 xml:space="preserve">4) oferent* / </w:t>
      </w:r>
      <w:r>
        <w:rPr>
          <w:rStyle w:val="Domylnaczcionkaakapitu"/>
          <w:rFonts w:cs="Verdana" w:ascii="Calibri" w:hAnsi="Calibri"/>
          <w:strike/>
          <w:color w:val="auto"/>
          <w:sz w:val="18"/>
          <w:szCs w:val="18"/>
        </w:rPr>
        <w:t>oferenci*</w:t>
      </w: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 xml:space="preserve"> składający niniejszą ofertę nie zalega(-ją)* / </w:t>
      </w:r>
      <w:r>
        <w:rPr>
          <w:rStyle w:val="Domylnaczcionkaakapitu"/>
          <w:rFonts w:cs="Verdana" w:ascii="Calibri" w:hAnsi="Calibri"/>
          <w:strike/>
          <w:color w:val="auto"/>
          <w:sz w:val="18"/>
          <w:szCs w:val="18"/>
        </w:rPr>
        <w:t>zalega(-ją)</w:t>
      </w: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>* z opłacaniem należności z tytułu składek na ubezpieczenia społeczne;</w:t>
      </w:r>
    </w:p>
    <w:p>
      <w:pPr>
        <w:pStyle w:val="Normal"/>
        <w:widowControl w:val="false"/>
        <w:tabs>
          <w:tab w:val="clear" w:pos="720"/>
          <w:tab w:val="left" w:pos="568" w:leader="none"/>
        </w:tabs>
        <w:ind w:hanging="284" w:start="284"/>
        <w:jc w:val="both"/>
        <w:rPr/>
      </w:pP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>5)</w:t>
        <w:tab/>
        <w:t>dane zawarte w części II niniejszej oferty są zgodne z Krajowym Rejestrem Sądowym* /</w:t>
      </w:r>
      <w:r>
        <w:rPr>
          <w:rStyle w:val="Domylnaczcionkaakapitu"/>
          <w:rFonts w:cs="Verdana" w:ascii="Calibri" w:hAnsi="Calibri"/>
          <w:strike/>
          <w:color w:val="auto"/>
          <w:sz w:val="18"/>
          <w:szCs w:val="18"/>
        </w:rPr>
        <w:t xml:space="preserve"> inną właściwą ewidencją</w:t>
      </w:r>
      <w:r>
        <w:rPr>
          <w:rStyle w:val="Domylnaczcionkaakapitu"/>
          <w:rFonts w:cs="Verdana" w:ascii="Calibri" w:hAnsi="Calibri"/>
          <w:color w:val="auto"/>
          <w:sz w:val="18"/>
          <w:szCs w:val="18"/>
        </w:rPr>
        <w:t>*;</w:t>
      </w:r>
    </w:p>
    <w:p>
      <w:pPr>
        <w:pStyle w:val="Normal"/>
        <w:widowControl w:val="false"/>
        <w:tabs>
          <w:tab w:val="clear" w:pos="720"/>
          <w:tab w:val="left" w:pos="568" w:leader="none"/>
        </w:tabs>
        <w:ind w:hanging="284" w:start="284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  <w:t>6)</w:t>
        <w:tab/>
        <w:t>wszystkie informacje podane w ofercie oraz załącznikach są zgodne z aktualnym stanem prawnym i faktycznym;</w:t>
      </w:r>
    </w:p>
    <w:p>
      <w:pPr>
        <w:pStyle w:val="Normal"/>
        <w:widowControl w:val="false"/>
        <w:tabs>
          <w:tab w:val="clear" w:pos="720"/>
        </w:tabs>
        <w:ind w:hanging="284" w:start="284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  <w:t>7)</w:t>
        <w:tab/>
        <w:t>w zakresie związanym ze składaniem ofert, w tym z gromadzeniem, przetwarzaniem i przekazywaniem danych osobowych, a także wprowadzaniem ich do systemów informatycznych, osoby, których dotyczą te dane, złożyły stosowne oświadczenia zgodnie z przepisami o ochronie danych osobowych.</w:t>
      </w:r>
    </w:p>
    <w:p>
      <w:pPr>
        <w:pStyle w:val="Normal"/>
        <w:widowControl w:val="false"/>
        <w:tabs>
          <w:tab w:val="clear" w:pos="720"/>
        </w:tabs>
        <w:ind w:hanging="284" w:start="284"/>
        <w:jc w:val="both"/>
        <w:rPr>
          <w:rFonts w:ascii="Calibri" w:hAnsi="Calibri" w:cs="Verdana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  <w:t>Data, Legionowo 07-01-2026r.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  <w:t>s. Jolanta Glapka Prezes Zarządu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  <w:t>A.Świderska-Marciniak Członek Zarządu</w:t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</w:r>
    </w:p>
    <w:p>
      <w:pPr>
        <w:pStyle w:val="Normal"/>
        <w:widowControl w:val="false"/>
        <w:tabs>
          <w:tab w:val="clear" w:pos="720"/>
          <w:tab w:val="right" w:pos="9540" w:leader="none"/>
        </w:tabs>
        <w:rPr>
          <w:rFonts w:ascii="Calibri" w:hAnsi="Calibri" w:cs="Verdana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jc w:val="both"/>
        <w:rPr>
          <w:rFonts w:ascii="Calibri" w:hAnsi="Calibri" w:cs="Verdana"/>
          <w:color w:val="auto"/>
          <w:sz w:val="16"/>
          <w:szCs w:val="16"/>
        </w:rPr>
      </w:pPr>
      <w:r>
        <w:rPr>
          <w:rFonts w:cs="Verdana" w:ascii="Calibri" w:hAnsi="Calibri"/>
          <w:color w:val="auto"/>
          <w:sz w:val="16"/>
          <w:szCs w:val="16"/>
        </w:rPr>
        <w:t xml:space="preserve">(podpis osoby upoważnionej lub podpisy osób upoważnionych </w:t>
      </w:r>
    </w:p>
    <w:p>
      <w:pPr>
        <w:pStyle w:val="Normal"/>
        <w:widowControl w:val="false"/>
        <w:jc w:val="both"/>
        <w:rPr/>
      </w:pPr>
      <w:r>
        <w:rPr>
          <w:rFonts w:cs="Verdana" w:ascii="Calibri" w:hAnsi="Calibri"/>
          <w:color w:val="auto"/>
          <w:sz w:val="16"/>
          <w:szCs w:val="16"/>
        </w:rPr>
        <w:t xml:space="preserve">do składania oświadczeń </w:t>
      </w:r>
      <w:r>
        <w:rPr>
          <w:rStyle w:val="Domylnaczcionkaakapitu"/>
          <w:rFonts w:cs="Verdana" w:ascii="Calibri" w:hAnsi="Calibri"/>
          <w:color w:val="auto"/>
          <w:sz w:val="16"/>
          <w:szCs w:val="16"/>
        </w:rPr>
        <w:t>woli w imieniu oferentów)</w:t>
      </w:r>
    </w:p>
    <w:sectPr>
      <w:footnotePr>
        <w:numFmt w:val="decimal"/>
      </w:footnotePr>
      <w:type w:val="nextPage"/>
      <w:pgSz w:w="11906" w:h="16838"/>
      <w:pgMar w:left="1418" w:right="1276" w:gutter="0" w:header="0" w:top="1077" w:footer="0" w:bottom="1259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  <w:font w:name="Arial">
    <w:charset w:val="ee" w:characterSet="windows-1250"/>
    <w:family w:val="swiss"/>
    <w:pitch w:val="variable"/>
  </w:font>
  <w:font w:name="Tahoma">
    <w:charset w:val="ee" w:characterSet="windows-1250"/>
    <w:family w:val="swiss"/>
    <w:pitch w:val="variable"/>
  </w:font>
  <w:font w:name="OpenSymbol">
    <w:altName w:val="Arial Unicode MS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widowControl w:val="false"/>
        <w:tabs>
          <w:tab w:val="clear" w:pos="720"/>
        </w:tabs>
        <w:ind w:hanging="284" w:start="284"/>
        <w:jc w:val="both"/>
        <w:rPr/>
      </w:pPr>
      <w:r>
        <w:rPr>
          <w:rStyle w:val="Znakiprzypiswdolnych"/>
        </w:rPr>
        <w:footnoteRef/>
      </w:r>
      <w:r>
        <w:rPr>
          <w:rStyle w:val="Domylnaczcionkaakapitu"/>
          <w:rFonts w:ascii="Calibri" w:hAnsi="Calibri"/>
          <w:position w:val="5"/>
          <w:sz w:val="18"/>
          <w:szCs w:val="18"/>
        </w:rPr>
        <w:tab/>
        <w:t>)</w:t>
      </w:r>
      <w:r>
        <w:rPr>
          <w:rStyle w:val="Domylnaczcionkaakapitu"/>
          <w:rFonts w:ascii="Calibri" w:hAnsi="Calibri"/>
          <w:sz w:val="18"/>
          <w:szCs w:val="18"/>
        </w:rPr>
        <w:t>Rodzaj zadania zawiera się w zakresie zadań określonych w art. 4 ustawy z dnia 24 kwietnia 2003 r. o działalności pożytku publicznego i o wolontariacie (Dz. U. z 2018 r. poz. 450, z późn. zm.).</w:t>
      </w:r>
    </w:p>
  </w:footnote>
  <w:footnote w:id="3">
    <w:p>
      <w:pPr>
        <w:pStyle w:val="FootnoteText"/>
        <w:tabs>
          <w:tab w:val="clear" w:pos="720"/>
        </w:tabs>
        <w:ind w:hanging="284" w:start="284"/>
        <w:rPr/>
      </w:pPr>
      <w:r>
        <w:rPr>
          <w:rStyle w:val="Znakiprzypiswdolnych"/>
        </w:rPr>
        <w:footnoteRef/>
      </w:r>
      <w:r>
        <w:rPr>
          <w:rStyle w:val="Domylnaczcionkaakapitu"/>
          <w:rFonts w:ascii="Calibri" w:hAnsi="Calibri"/>
          <w:position w:val="5"/>
          <w:sz w:val="18"/>
          <w:szCs w:val="18"/>
        </w:rPr>
        <w:tab/>
        <w:t>)</w:t>
      </w:r>
      <w:r>
        <w:rPr>
          <w:rStyle w:val="Domylnaczcionkaakapitu"/>
          <w:rFonts w:cs="Calibri" w:ascii="Calibri" w:hAnsi="Calibri"/>
          <w:sz w:val="18"/>
          <w:szCs w:val="18"/>
        </w:rPr>
        <w:t>Termin realizacji zadania nie może być dłuższy niż 90 dni.</w:t>
      </w:r>
    </w:p>
    <w:p>
      <w:pPr>
        <w:pStyle w:val="Normalny"/>
        <w:rPr/>
      </w:pPr>
      <w:r>
        <w:rPr/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hyphenationZone w:val="0"/>
  <w:footnotePr>
    <w:numFmt w:val="decimal"/>
    <w:footnote w:id="0"/>
    <w:footnote w:id="1"/>
  </w:footnotePr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4"/>
        <w:lang w:val="pl-PL" w:eastAsia="pl-PL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pl-PL" w:bidi="ar-SA"/>
    </w:rPr>
  </w:style>
  <w:style w:type="paragraph" w:styleId="Heading1">
    <w:name w:val="heading 1"/>
    <w:basedOn w:val="Normal"/>
    <w:next w:val="Normal"/>
    <w:qFormat/>
    <w:pPr>
      <w:numPr>
        <w:ilvl w:val="0"/>
        <w:numId w:val="1"/>
      </w:numPr>
      <w:suppressAutoHyphens w:val="true"/>
      <w:spacing w:before="240" w:after="0"/>
      <w:jc w:val="end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pPr>
      <w:numPr>
        <w:ilvl w:val="1"/>
        <w:numId w:val="1"/>
      </w:numPr>
      <w:suppressAutoHyphens w:val="true"/>
      <w:spacing w:before="240" w:after="60"/>
      <w:outlineLvl w:val="1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numPr>
        <w:ilvl w:val="2"/>
        <w:numId w:val="1"/>
      </w:numPr>
      <w:suppressAutoHyphens w:val="true"/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numPr>
        <w:ilvl w:val="3"/>
        <w:numId w:val="1"/>
      </w:numPr>
      <w:suppressAutoHyphens w:val="true"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uppressAutoHyphens w:val="true"/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tabs>
        <w:tab w:val="clear" w:pos="720"/>
        <w:tab w:val="left" w:pos="566" w:leader="none"/>
      </w:tabs>
      <w:suppressAutoHyphens w:val="true"/>
      <w:spacing w:lineRule="auto" w:line="360"/>
      <w:ind w:hanging="283" w:start="283"/>
      <w:jc w:val="end"/>
      <w:outlineLvl w:val="5"/>
    </w:pPr>
    <w:rPr>
      <w:b/>
      <w:bCs/>
    </w:rPr>
  </w:style>
  <w:style w:type="character" w:styleId="Domylnaczcionkaakapitu">
    <w:name w:val="Domyślna czcionka akapitu"/>
    <w:qFormat/>
    <w:rPr/>
  </w:style>
  <w:style w:type="character" w:styleId="FootnoteReference">
    <w:name w:val="footnote reference"/>
    <w:qFormat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TekstprzypisukocowegoZnak">
    <w:name w:val="Tekst przypisu końcowego Znak"/>
    <w:qFormat/>
    <w:rPr>
      <w:color w:val="000000"/>
    </w:rPr>
  </w:style>
  <w:style w:type="character" w:styleId="Znakiprzypiswkocowychuser">
    <w:name w:val="Znaki przypisów końcowych (user)"/>
    <w:qFormat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qFormat/>
    <w:rPr>
      <w:vertAlign w:val="superscript"/>
    </w:rPr>
  </w:style>
  <w:style w:type="character" w:styleId="TekstpodstawowyZnak">
    <w:name w:val="Tekst podstawowy Znak"/>
    <w:qFormat/>
    <w:rPr>
      <w:color w:val="000000"/>
      <w:sz w:val="24"/>
      <w:szCs w:val="24"/>
    </w:rPr>
  </w:style>
  <w:style w:type="character" w:styleId="NagwekZnak">
    <w:name w:val="Nagłówek Znak"/>
    <w:qFormat/>
    <w:rPr>
      <w:color w:val="000000"/>
      <w:sz w:val="24"/>
      <w:szCs w:val="24"/>
    </w:rPr>
  </w:style>
  <w:style w:type="character" w:styleId="StopkaZnak">
    <w:name w:val="Stopka Znak"/>
    <w:qFormat/>
    <w:rPr>
      <w:color w:val="000000"/>
      <w:sz w:val="24"/>
      <w:szCs w:val="24"/>
    </w:rPr>
  </w:style>
  <w:style w:type="character" w:styleId="TekstdymkaZnak">
    <w:name w:val="Tekst dymka Znak"/>
    <w:qFormat/>
    <w:rPr>
      <w:rFonts w:ascii="Tahoma" w:hAnsi="Tahoma" w:eastAsia="Tahoma" w:cs="Tahoma"/>
      <w:color w:val="000000"/>
      <w:sz w:val="16"/>
      <w:szCs w:val="16"/>
    </w:rPr>
  </w:style>
  <w:style w:type="character" w:styleId="Odwoaniedokomentarza">
    <w:name w:val="Odwołanie do komentarza"/>
    <w:qFormat/>
    <w:rPr>
      <w:sz w:val="16"/>
      <w:szCs w:val="16"/>
    </w:rPr>
  </w:style>
  <w:style w:type="character" w:styleId="TekstkomentarzaZnak">
    <w:name w:val="Tekst komentarza Znak"/>
    <w:qFormat/>
    <w:rPr>
      <w:color w:val="000000"/>
    </w:rPr>
  </w:style>
  <w:style w:type="character" w:styleId="TematkomentarzaZnak">
    <w:name w:val="Temat komentarza Znak"/>
    <w:qFormat/>
    <w:rPr>
      <w:b/>
      <w:bCs/>
      <w:color w:val="000000"/>
    </w:rPr>
  </w:style>
  <w:style w:type="character" w:styleId="TekstprzypisudolnegoZnak">
    <w:name w:val="Tekst przypisu dolnego Znak"/>
    <w:qFormat/>
    <w:rPr>
      <w:color w:val="000000"/>
    </w:rPr>
  </w:style>
  <w:style w:type="character" w:styleId="luchili">
    <w:name w:val="luc_hili"/>
    <w:basedOn w:val="Domylnaczcionkaakapitu"/>
    <w:qFormat/>
    <w:rPr/>
  </w:style>
  <w:style w:type="character" w:styleId="Teksttreci2">
    <w:name w:val="Tekst treści (2)_"/>
    <w:basedOn w:val="Domylnaczcionkaakapitu"/>
    <w:qFormat/>
    <w:rPr>
      <w:rFonts w:ascii="Arial" w:hAnsi="Arial" w:eastAsia="Arial" w:cs="Arial"/>
      <w:color w:val="231F20"/>
      <w:sz w:val="16"/>
      <w:szCs w:val="16"/>
      <w:shd w:fill="FFFFFF" w:val="clear"/>
    </w:rPr>
  </w:style>
  <w:style w:type="character" w:styleId="highlight">
    <w:name w:val="highlight"/>
    <w:basedOn w:val="Domylnaczcionkaakapitu"/>
    <w:qFormat/>
    <w:rPr/>
  </w:style>
  <w:style w:type="character" w:styleId="footnote">
    <w:name w:val="footnote"/>
    <w:basedOn w:val="Domylnaczcionkaakapitu"/>
    <w:qFormat/>
    <w:rPr/>
  </w:style>
  <w:style w:type="character" w:styleId="Znakiprzypiswdolnych">
    <w:name w:val="Znaki przypisów dolnych"/>
    <w:qFormat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Uwydatnienie">
    <w:name w:val="Uwydatnienie"/>
    <w:qFormat/>
    <w:rPr>
      <w:i/>
      <w:iCs/>
    </w:rPr>
  </w:style>
  <w:style w:type="character" w:styleId="Znakinumeracji">
    <w:name w:val="Znaki numeracji"/>
    <w:qFormat/>
    <w:rPr/>
  </w:style>
  <w:style w:type="character" w:styleId="WWCharLFO2LVL1">
    <w:name w:val="WW_CharLFO2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2">
    <w:name w:val="WW_CharLFO2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3">
    <w:name w:val="WW_CharLFO2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4">
    <w:name w:val="WW_CharLFO2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5">
    <w:name w:val="WW_CharLFO2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6">
    <w:name w:val="WW_CharLFO2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7">
    <w:name w:val="WW_CharLFO2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8">
    <w:name w:val="WW_CharLFO2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2LVL9">
    <w:name w:val="WW_CharLFO2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1">
    <w:name w:val="WW_CharLFO3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2">
    <w:name w:val="WW_CharLFO3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3">
    <w:name w:val="WW_CharLFO3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4">
    <w:name w:val="WW_CharLFO3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5">
    <w:name w:val="WW_CharLFO3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6">
    <w:name w:val="WW_CharLFO3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7">
    <w:name w:val="WW_CharLFO3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8">
    <w:name w:val="WW_CharLFO3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3LVL9">
    <w:name w:val="WW_CharLFO3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1">
    <w:name w:val="WW_CharLFO4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2">
    <w:name w:val="WW_CharLFO4LVL2"/>
    <w:qFormat/>
    <w:rPr>
      <w:rFonts w:eastAsia="Verdana" w:cs="Verdana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3">
    <w:name w:val="WW_CharLFO4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4">
    <w:name w:val="WW_CharLFO4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5">
    <w:name w:val="WW_CharLFO4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6">
    <w:name w:val="WW_CharLFO4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7">
    <w:name w:val="WW_CharLFO4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8">
    <w:name w:val="WW_CharLFO4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4LVL9">
    <w:name w:val="WW_CharLFO4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1">
    <w:name w:val="WW_CharLFO5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2">
    <w:name w:val="WW_CharLFO5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3">
    <w:name w:val="WW_CharLFO5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4">
    <w:name w:val="WW_CharLFO5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5">
    <w:name w:val="WW_CharLFO5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6">
    <w:name w:val="WW_CharLFO5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7">
    <w:name w:val="WW_CharLFO5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8">
    <w:name w:val="WW_CharLFO5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5LVL9">
    <w:name w:val="WW_CharLFO5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1">
    <w:name w:val="WW_CharLFO6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2">
    <w:name w:val="WW_CharLFO6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3">
    <w:name w:val="WW_CharLFO6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4">
    <w:name w:val="WW_CharLFO6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5">
    <w:name w:val="WW_CharLFO6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6">
    <w:name w:val="WW_CharLFO6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7">
    <w:name w:val="WW_CharLFO6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8">
    <w:name w:val="WW_CharLFO6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6LVL9">
    <w:name w:val="WW_CharLFO6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1">
    <w:name w:val="WW_CharLFO7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2">
    <w:name w:val="WW_CharLFO7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3">
    <w:name w:val="WW_CharLFO7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4">
    <w:name w:val="WW_CharLFO7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5">
    <w:name w:val="WW_CharLFO7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6">
    <w:name w:val="WW_CharLFO7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7">
    <w:name w:val="WW_CharLFO7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8">
    <w:name w:val="WW_CharLFO7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7LVL9">
    <w:name w:val="WW_CharLFO7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1">
    <w:name w:val="WW_CharLFO8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2">
    <w:name w:val="WW_CharLFO8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3">
    <w:name w:val="WW_CharLFO8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4">
    <w:name w:val="WW_CharLFO8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5">
    <w:name w:val="WW_CharLFO8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6">
    <w:name w:val="WW_CharLFO8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7">
    <w:name w:val="WW_CharLFO8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8">
    <w:name w:val="WW_CharLFO8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8LVL9">
    <w:name w:val="WW_CharLFO8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1">
    <w:name w:val="WW_CharLFO9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16"/>
      <w:szCs w:val="16"/>
      <w:u w:val="none"/>
    </w:rPr>
  </w:style>
  <w:style w:type="character" w:styleId="WWCharLFO9LVL2">
    <w:name w:val="WW_CharLFO9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3">
    <w:name w:val="WW_CharLFO9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4">
    <w:name w:val="WW_CharLFO9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5">
    <w:name w:val="WW_CharLFO9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6">
    <w:name w:val="WW_CharLFO9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7">
    <w:name w:val="WW_CharLFO9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8">
    <w:name w:val="WW_CharLFO9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9LVL9">
    <w:name w:val="WW_CharLFO9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1">
    <w:name w:val="WW_CharLFO10LVL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2">
    <w:name w:val="WW_CharLFO10LVL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3">
    <w:name w:val="WW_CharLFO10LVL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4">
    <w:name w:val="WW_CharLFO10LVL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5">
    <w:name w:val="WW_CharLFO10LVL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6">
    <w:name w:val="WW_CharLFO10LVL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7">
    <w:name w:val="WW_CharLFO10LVL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8">
    <w:name w:val="WW_CharLFO10LVL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0LVL9">
    <w:name w:val="WW_CharLFO10LVL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WWCharLFO12LVL1">
    <w:name w:val="WW_CharLFO12LVL1"/>
    <w:qFormat/>
    <w:rPr>
      <w:rFonts w:cs="Calibri"/>
    </w:rPr>
  </w:style>
  <w:style w:type="character" w:styleId="WWCharLFO14LVL1">
    <w:name w:val="WW_CharLFO14LVL1"/>
    <w:qFormat/>
    <w:rPr>
      <w:rFonts w:cs="Calibri"/>
    </w:rPr>
  </w:style>
  <w:style w:type="character" w:styleId="WWCharLFO15LVL1">
    <w:name w:val="WW_CharLFO15LVL1"/>
    <w:qFormat/>
    <w:rPr>
      <w:rFonts w:eastAsia="Arial"/>
    </w:rPr>
  </w:style>
  <w:style w:type="character" w:styleId="WWCharLFO16LVL3">
    <w:name w:val="WW_CharLFO16LVL3"/>
    <w:qFormat/>
    <w:rPr>
      <w:rFonts w:cs="Courier New"/>
    </w:rPr>
  </w:style>
  <w:style w:type="character" w:styleId="WWCharLFO16LVL7">
    <w:name w:val="WW_CharLFO16LVL7"/>
    <w:qFormat/>
    <w:rPr>
      <w:rFonts w:cs="Courier New"/>
    </w:rPr>
  </w:style>
  <w:style w:type="character" w:styleId="WWCharLFO33LVL1">
    <w:name w:val="WW_CharLFO33LVL1"/>
    <w:qFormat/>
    <w:rPr>
      <w:sz w:val="20"/>
      <w:szCs w:val="20"/>
    </w:rPr>
  </w:style>
  <w:style w:type="character" w:styleId="WWCharLFO34LVL2">
    <w:name w:val="WW_CharLFO34LVL2"/>
    <w:qFormat/>
    <w:rPr>
      <w:rFonts w:cs="Courier New"/>
    </w:rPr>
  </w:style>
  <w:style w:type="character" w:styleId="WWCharLFO34LVL5">
    <w:name w:val="WW_CharLFO34LVL5"/>
    <w:qFormat/>
    <w:rPr>
      <w:rFonts w:cs="Courier New"/>
    </w:rPr>
  </w:style>
  <w:style w:type="character" w:styleId="WWCharLFO34LVL8">
    <w:name w:val="WW_CharLFO34LVL8"/>
    <w:qFormat/>
    <w:rPr>
      <w:rFonts w:cs="Courier New"/>
    </w:rPr>
  </w:style>
  <w:style w:type="character" w:styleId="WWCharLFO35LVL2">
    <w:name w:val="WW_CharLFO35LVL2"/>
    <w:qFormat/>
    <w:rPr>
      <w:rFonts w:cs="Courier New"/>
    </w:rPr>
  </w:style>
  <w:style w:type="character" w:styleId="WWCharLFO35LVL5">
    <w:name w:val="WW_CharLFO35LVL5"/>
    <w:qFormat/>
    <w:rPr>
      <w:rFonts w:cs="Courier New"/>
    </w:rPr>
  </w:style>
  <w:style w:type="character" w:styleId="WWCharLFO35LVL8">
    <w:name w:val="WW_CharLFO35LVL8"/>
    <w:qFormat/>
    <w:rPr>
      <w:rFonts w:cs="Courier New"/>
    </w:rPr>
  </w:style>
  <w:style w:type="character" w:styleId="Znakiprzypiswdolnychuser">
    <w:name w:val="Znaki przypisów dolnych (user)"/>
    <w:basedOn w:val="Domylnaczcionkaakapitu"/>
    <w:qFormat/>
    <w:rPr>
      <w:vertAlign w:val="superscript"/>
    </w:rPr>
  </w:style>
  <w:style w:type="paragraph" w:styleId="Nagwek">
    <w:name w:val="Nagłówek"/>
    <w:basedOn w:val="Normal"/>
    <w:next w:val="BodyText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uppressAutoHyphens w:val="true"/>
      <w:spacing w:before="0" w:after="120"/>
    </w:pPr>
    <w:rPr/>
  </w:style>
  <w:style w:type="paragraph" w:styleId="List">
    <w:name w:val="List"/>
    <w:basedOn w:val="Normal"/>
    <w:qFormat/>
    <w:pPr>
      <w:tabs>
        <w:tab w:val="clear" w:pos="720"/>
      </w:tabs>
      <w:suppressAutoHyphens w:val="true"/>
      <w:ind w:hanging="283" w:start="283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  <w:suppressAutoHyphens w:val="true"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tabs>
        <w:tab w:val="clear" w:pos="720"/>
        <w:tab w:val="center" w:pos="4536" w:leader="none"/>
        <w:tab w:val="right" w:pos="9072" w:leader="none"/>
      </w:tabs>
      <w:suppressAutoHyphens w:val="true"/>
    </w:pPr>
    <w:rPr/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Normalny">
    <w:name w:val="Normalny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4"/>
      <w:sz w:val="24"/>
      <w:szCs w:val="20"/>
      <w:u w:val="none"/>
      <w:shd w:fill="auto" w:val="clear"/>
      <w:vertAlign w:val="baseline"/>
      <w:em w:val="none"/>
      <w:lang w:val="pl-PL" w:eastAsia="pl-PL" w:bidi="ar-SA"/>
    </w:rPr>
  </w:style>
  <w:style w:type="paragraph" w:styleId="Legenda">
    <w:name w:val="Legenda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paragraph" w:styleId="Title">
    <w:name w:val="Title"/>
    <w:basedOn w:val="Normal"/>
    <w:qFormat/>
    <w:pPr>
      <w:suppressAutoHyphens w:val="true"/>
      <w:spacing w:before="240" w:after="60"/>
      <w:jc w:val="center"/>
    </w:pPr>
    <w:rPr>
      <w:rFonts w:ascii="Arial" w:hAnsi="Arial" w:eastAsia="Arial" w:cs="Arial"/>
      <w:b/>
      <w:bCs/>
      <w:sz w:val="32"/>
      <w:szCs w:val="32"/>
    </w:rPr>
  </w:style>
  <w:style w:type="paragraph" w:styleId="Subtitle">
    <w:name w:val="Subtitle"/>
    <w:basedOn w:val="Normal"/>
    <w:qFormat/>
    <w:pPr>
      <w:suppressAutoHyphens w:val="true"/>
      <w:spacing w:before="0" w:after="60"/>
      <w:jc w:val="center"/>
    </w:pPr>
    <w:rPr>
      <w:rFonts w:ascii="Arial" w:hAnsi="Arial" w:eastAsia="Arial" w:cs="Arial"/>
    </w:rPr>
  </w:style>
  <w:style w:type="paragraph" w:styleId="FootnoteText">
    <w:name w:val="footnote text"/>
    <w:basedOn w:val="Normal"/>
    <w:pPr>
      <w:suppressAutoHyphens w:val="true"/>
    </w:pPr>
    <w:rPr>
      <w:sz w:val="20"/>
      <w:szCs w:val="20"/>
    </w:rPr>
  </w:style>
  <w:style w:type="paragraph" w:styleId="EndnoteText">
    <w:name w:val="endnote text"/>
    <w:basedOn w:val="Normal"/>
    <w:pPr>
      <w:suppressAutoHyphens w:val="true"/>
    </w:pPr>
    <w:rPr>
      <w:sz w:val="20"/>
      <w:szCs w:val="20"/>
    </w:rPr>
  </w:style>
  <w:style w:type="paragraph" w:styleId="ListBullet2">
    <w:name w:val="List Bullet 2"/>
    <w:basedOn w:val="Normal"/>
    <w:qFormat/>
    <w:pPr>
      <w:tabs>
        <w:tab w:val="clear" w:pos="720"/>
      </w:tabs>
      <w:suppressAutoHyphens w:val="true"/>
      <w:ind w:hanging="283" w:start="566"/>
    </w:pPr>
    <w:rPr/>
  </w:style>
  <w:style w:type="paragraph" w:styleId="Gwkaistopka">
    <w:name w:val="Główka i stopka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  <w:suppressAutoHyphens w:val="true"/>
    </w:pPr>
    <w:rPr/>
  </w:style>
  <w:style w:type="paragraph" w:styleId="Gwkaistopkauser">
    <w:name w:val="Główka i stopka (user)"/>
    <w:basedOn w:val="Normal"/>
    <w:qFormat/>
    <w:pPr/>
    <w:rPr/>
  </w:style>
  <w:style w:type="paragraph" w:styleId="Footer">
    <w:name w:val="footer"/>
    <w:basedOn w:val="Normal"/>
    <w:qFormat/>
    <w:pPr>
      <w:tabs>
        <w:tab w:val="clear" w:pos="720"/>
        <w:tab w:val="center" w:pos="4536" w:leader="none"/>
        <w:tab w:val="right" w:pos="9072" w:leader="none"/>
      </w:tabs>
      <w:suppressAutoHyphens w:val="true"/>
    </w:pPr>
    <w:rPr/>
  </w:style>
  <w:style w:type="paragraph" w:styleId="Tekstdymka">
    <w:name w:val="Tekst dymka"/>
    <w:basedOn w:val="Normal"/>
    <w:qFormat/>
    <w:pPr>
      <w:suppressAutoHyphens w:val="true"/>
    </w:pPr>
    <w:rPr>
      <w:rFonts w:ascii="Tahoma" w:hAnsi="Tahoma" w:eastAsia="Tahoma" w:cs="Tahoma"/>
      <w:sz w:val="16"/>
      <w:szCs w:val="16"/>
    </w:rPr>
  </w:style>
  <w:style w:type="paragraph" w:styleId="Tekstkomentarza">
    <w:name w:val="Tekst komentarza"/>
    <w:basedOn w:val="Normal"/>
    <w:qFormat/>
    <w:pPr>
      <w:suppressAutoHyphens w:val="true"/>
    </w:pPr>
    <w:rPr>
      <w:sz w:val="20"/>
      <w:szCs w:val="20"/>
    </w:rPr>
  </w:style>
  <w:style w:type="paragraph" w:styleId="Tematkomentarza">
    <w:name w:val="Temat komentarza"/>
    <w:basedOn w:val="Tekstkomentarza"/>
    <w:next w:val="Tekstkomentarza"/>
    <w:qFormat/>
    <w:pPr>
      <w:suppressAutoHyphens w:val="true"/>
    </w:pPr>
    <w:rPr>
      <w:b/>
      <w:bCs/>
    </w:rPr>
  </w:style>
  <w:style w:type="paragraph" w:styleId="Poprawka">
    <w:name w:val="Poprawka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pl-PL" w:bidi="ar-SA"/>
    </w:rPr>
  </w:style>
  <w:style w:type="paragraph" w:styleId="Akapitzlist">
    <w:name w:val="Akapit z listą"/>
    <w:basedOn w:val="Normal"/>
    <w:qFormat/>
    <w:pPr>
      <w:tabs>
        <w:tab w:val="clear" w:pos="720"/>
      </w:tabs>
      <w:suppressAutoHyphens w:val="true"/>
      <w:ind w:start="720"/>
    </w:pPr>
    <w:rPr/>
  </w:style>
  <w:style w:type="paragraph" w:styleId="Teksttreci21">
    <w:name w:val="Tekst treści (2)"/>
    <w:basedOn w:val="Normal"/>
    <w:qFormat/>
    <w:pPr>
      <w:widowControl w:val="false"/>
      <w:shd w:val="clear" w:fill="FFFFFF"/>
      <w:tabs>
        <w:tab w:val="clear" w:pos="720"/>
      </w:tabs>
      <w:suppressAutoHyphens w:val="true"/>
      <w:spacing w:before="0" w:after="380"/>
      <w:ind w:start="5520"/>
      <w:jc w:val="both"/>
    </w:pPr>
    <w:rPr>
      <w:rFonts w:ascii="Arial" w:hAnsi="Arial" w:eastAsia="Arial" w:cs="Arial"/>
      <w:color w:val="231F20"/>
      <w:sz w:val="16"/>
      <w:szCs w:val="16"/>
    </w:rPr>
  </w:style>
  <w:style w:type="paragraph" w:styleId="mainpub">
    <w:name w:val="mainpub"/>
    <w:basedOn w:val="Normal"/>
    <w:qFormat/>
    <w:pPr>
      <w:suppressAutoHyphens w:val="true"/>
      <w:spacing w:before="280" w:after="280"/>
    </w:pPr>
    <w:rPr>
      <w:color w:val="auto"/>
    </w:rPr>
  </w:style>
  <w:style w:type="paragraph" w:styleId="Liniapozioma">
    <w:name w:val="Linia pozioma"/>
    <w:basedOn w:val="Normal"/>
    <w:next w:val="BodyText"/>
    <w:qFormat/>
    <w:pPr>
      <w:suppressLineNumbers/>
      <w:suppressAutoHyphens w:val="true"/>
      <w:spacing w:before="0" w:after="283"/>
    </w:pPr>
    <w:rPr>
      <w:sz w:val="12"/>
      <w:szCs w:val="12"/>
    </w:rPr>
  </w:style>
  <w:style w:type="paragraph" w:styleId="Standard">
    <w:name w:val="Standard"/>
    <w:qFormat/>
    <w:pPr>
      <w:keepNext w:val="false"/>
      <w:keepLines w:val="false"/>
      <w:pageBreakBefore w:val="false"/>
      <w:widowControl/>
      <w:shd w:val="clear" w:fill="auto"/>
      <w:suppressAutoHyphens w:val="true"/>
      <w:overflowPunct w:val="true"/>
      <w:bidi w:val="0"/>
      <w:snapToGrid w:val="true"/>
      <w:spacing w:lineRule="auto" w:line="240" w:before="0" w:after="0"/>
      <w:jc w:val="star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0"/>
      <w:position w:val="0"/>
      <w:sz w:val="24"/>
      <w:sz w:val="24"/>
      <w:szCs w:val="24"/>
      <w:u w:val="none"/>
      <w:shd w:fill="auto" w:val="clear"/>
      <w:vertAlign w:val="baseline"/>
      <w:em w:val="none"/>
      <w:lang w:val="pl-PL" w:eastAsia="pl-PL" w:bidi="ar-SA"/>
    </w:rPr>
  </w:style>
  <w:style w:type="paragraph" w:styleId="Zawartotabeli">
    <w:name w:val="Zawartość tabeli"/>
    <w:basedOn w:val="Normal"/>
    <w:qFormat/>
    <w:pPr>
      <w:suppressLineNumbers/>
      <w:suppressAutoHyphens w:val="true"/>
    </w:pPr>
    <w:rPr/>
  </w:style>
  <w:style w:type="numbering" w:styleId="Bezlisty">
    <w:name w:val="Bez listy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fundacja@pasjazycia.org" TargetMode="External"/><Relationship Id="rId3" Type="http://schemas.openxmlformats.org/officeDocument/2006/relationships/footnotes" Target="footnotes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47</TotalTime>
  <Application>LibreOffice/25.8.3.2$Windows_X86_64 LibreOffice_project/8ca8d55c161d602844f5428fa4b58097424e324e</Application>
  <AppVersion>15.0000</AppVersion>
  <Pages>5</Pages>
  <Words>1754</Words>
  <Characters>11737</Characters>
  <CharactersWithSpaces>13425</CharactersWithSpaces>
  <Paragraphs>164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2026-01-07T20:24:00Z</dcterms:created>
  <dc:creator>R K</dc:creator>
  <dc:description/>
  <cp:keywords>wsparcie oferta zadanie publiczne</cp:keywords>
  <dc:language>pl-PL</dc:language>
  <cp:lastModifiedBy/>
  <dcterms:modified xsi:type="dcterms:W3CDTF">2026-01-13T12:22:13Z</dcterms:modified>
  <cp:revision>7</cp:revision>
  <dc:subject>sympozjum warsztatów</dc:subject>
  <dc:title>uproszczona oferta realizacji zadania publicznego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