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ksttreci21"/>
        <w:shd w:val="clear" w:color="auto" w:fill="auto"/>
        <w:spacing w:lineRule="auto" w:line="288"/>
        <w:jc w:val="star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Załączniki do rozporządzenia </w:t>
        <w:br/>
        <w:t>Przewodniczącego Komitetu do spraw Pożytku Publicznego z dnia 24 października 2018 r. (poz. 2055)</w:t>
      </w:r>
    </w:p>
    <w:p>
      <w:pPr>
        <w:pStyle w:val="Teksttreci21"/>
        <w:shd w:val="clear" w:color="auto" w:fill="auto"/>
        <w:spacing w:lineRule="auto" w:line="288"/>
        <w:jc w:val="end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1</w:t>
      </w:r>
    </w:p>
    <w:p>
      <w:pPr>
        <w:pStyle w:val="Normal"/>
        <w:spacing w:before="240" w:after="0"/>
        <w:jc w:val="center"/>
        <w:rPr>
          <w:rFonts w:ascii="Calibri" w:hAnsi="Calibri" w:eastAsia="Arial" w:cs="Calibri" w:asciiTheme="minorHAnsi" w:hAnsiTheme="minorHAnsi"/>
          <w:bCs/>
          <w:i/>
          <w:i/>
        </w:rPr>
      </w:pPr>
      <w:r>
        <w:rPr>
          <w:rFonts w:eastAsia="Arial" w:cs="Calibri" w:ascii="Calibri" w:hAnsi="Calibri" w:asciiTheme="minorHAnsi" w:hAnsiTheme="minorHAnsi"/>
          <w:bCs/>
          <w:i/>
        </w:rPr>
        <w:t>WZÓR</w:t>
      </w:r>
    </w:p>
    <w:p>
      <w:pPr>
        <w:pStyle w:val="Normal"/>
        <w:spacing w:beforeAutospacing="1" w:after="0"/>
        <w:jc w:val="center"/>
        <w:rPr>
          <w:rFonts w:ascii="Calibri" w:hAnsi="Calibri" w:eastAsia="Arial" w:cs="Calibri"/>
          <w:bCs/>
        </w:rPr>
      </w:pPr>
      <w:r>
        <w:rPr>
          <w:rFonts w:eastAsia="Arial" w:cs="Calibri" w:ascii="Calibri" w:hAnsi="Calibri"/>
          <w:bCs/>
        </w:rPr>
        <w:t>UPROSZCZONA OFERTA REALIZACJI ZADANIA PUBLICZNEGO</w:t>
      </w:r>
    </w:p>
    <w:p>
      <w:pPr>
        <w:pStyle w:val="Normal"/>
        <w:spacing w:beforeAutospacing="1" w:after="0"/>
        <w:jc w:val="center"/>
        <w:rPr>
          <w:rFonts w:ascii="Calibri" w:hAnsi="Calibri" w:eastAsia="Arial" w:cs="Calibri"/>
          <w:bCs/>
        </w:rPr>
      </w:pPr>
      <w:r>
        <w:rPr>
          <w:rFonts w:eastAsia="Arial" w:cs="Calibri" w:ascii="Calibri" w:hAnsi="Calibri"/>
          <w:bCs/>
        </w:rPr>
      </w:r>
    </w:p>
    <w:p>
      <w:pPr>
        <w:pStyle w:val="Normal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cs="Calibri,Bold" w:ascii="Calibri,Bold" w:hAnsi="Calibri,Bold"/>
          <w:b/>
          <w:bCs/>
          <w:color w:val="auto"/>
          <w:sz w:val="17"/>
          <w:szCs w:val="17"/>
        </w:rPr>
        <w:t>POUCZENIE co do sposobu wypełniania oferty:</w:t>
      </w:r>
    </w:p>
    <w:p>
      <w:pPr>
        <w:pStyle w:val="Normal"/>
        <w:rPr>
          <w:rFonts w:ascii="Calibri" w:hAnsi="Calibri" w:cs="Calibri"/>
          <w:color w:val="auto"/>
          <w:sz w:val="17"/>
          <w:szCs w:val="17"/>
        </w:rPr>
      </w:pPr>
      <w:r>
        <w:rPr>
          <w:rFonts w:cs="Calibri" w:ascii="Calibri" w:hAnsi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>
      <w:pPr>
        <w:pStyle w:val="Normal"/>
        <w:rPr>
          <w:rFonts w:ascii="Calibri" w:hAnsi="Calibri" w:cs="Calibri"/>
          <w:color w:val="auto"/>
          <w:sz w:val="17"/>
          <w:szCs w:val="17"/>
        </w:rPr>
      </w:pPr>
      <w:r>
        <w:rPr>
          <w:rFonts w:cs="Calibri" w:ascii="Calibri" w:hAnsi="Calibri"/>
          <w:color w:val="auto"/>
          <w:sz w:val="17"/>
          <w:szCs w:val="17"/>
        </w:rPr>
        <w:t>oraz w przypisach.</w:t>
      </w:r>
    </w:p>
    <w:p>
      <w:pPr>
        <w:pStyle w:val="Normal"/>
        <w:rPr>
          <w:rFonts w:ascii="Calibri" w:hAnsi="Calibri" w:cs="Calibri"/>
          <w:color w:val="auto"/>
          <w:sz w:val="17"/>
          <w:szCs w:val="17"/>
        </w:rPr>
      </w:pPr>
      <w:r>
        <w:rPr>
          <w:rFonts w:cs="Calibri" w:ascii="Calibri" w:hAnsi="Calibri"/>
          <w:color w:val="auto"/>
          <w:sz w:val="17"/>
          <w:szCs w:val="17"/>
        </w:rPr>
        <w:t>Zaznaczenie gwiazdką, np.: „pobieranie*/niepobieranie*” oznacza, że należy skreślić niewłaściwą odpowiedź, pozostawiając prawidłową. Przykład: „pobieranie*/</w:t>
      </w:r>
      <w:r>
        <w:rPr>
          <w:rFonts w:cs="Calibri" w:ascii="Calibri" w:hAnsi="Calibri"/>
          <w:strike/>
          <w:color w:val="auto"/>
          <w:sz w:val="17"/>
          <w:szCs w:val="17"/>
        </w:rPr>
        <w:t>niepobieranie</w:t>
      </w:r>
      <w:r>
        <w:rPr>
          <w:rFonts w:cs="Calibri" w:ascii="Calibri" w:hAnsi="Calibri"/>
          <w:color w:val="auto"/>
          <w:sz w:val="17"/>
          <w:szCs w:val="17"/>
        </w:rPr>
        <w:t>*”.</w:t>
      </w:r>
    </w:p>
    <w:p>
      <w:pPr>
        <w:pStyle w:val="Normal"/>
        <w:spacing w:beforeAutospacing="1" w:after="0"/>
        <w:jc w:val="center"/>
        <w:rPr>
          <w:rFonts w:ascii="Calibri" w:hAnsi="Calibri" w:eastAsia="Arial" w:cs="Calibri"/>
          <w:bCs/>
        </w:rPr>
      </w:pPr>
      <w:r>
        <w:rPr>
          <w:rFonts w:eastAsia="Arial" w:cs="Calibri" w:ascii="Calibri" w:hAnsi="Calibri"/>
          <w:bCs/>
        </w:rPr>
      </w:r>
    </w:p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I. Podstawowe informacje o złożonej ofercie</w:t>
      </w:r>
    </w:p>
    <w:p>
      <w:pPr>
        <w:pStyle w:val="Normal"/>
        <w:jc w:val="both"/>
        <w:rPr>
          <w:rFonts w:ascii="Calibri" w:hAnsi="Calibri" w:eastAsia="Arial" w:cs="Calibri" w:asciiTheme="minorHAnsi" w:hAnsiTheme="minorHAnsi"/>
          <w:bCs/>
          <w:sz w:val="18"/>
          <w:szCs w:val="18"/>
        </w:rPr>
      </w:pPr>
      <w:r>
        <w:rPr>
          <w:rFonts w:eastAsia="Arial" w:cs="Calibri" w:ascii="Calibri" w:hAnsi="Calibri"/>
          <w:bCs/>
          <w:sz w:val="18"/>
          <w:szCs w:val="18"/>
        </w:rPr>
      </w:r>
    </w:p>
    <w:tbl>
      <w:tblPr>
        <w:tblW w:w="10774" w:type="dxa"/>
        <w:jc w:val="start"/>
        <w:tblInd w:w="-74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391"/>
        <w:gridCol w:w="6383"/>
      </w:tblGrid>
      <w:tr>
        <w:trPr>
          <w:trHeight w:val="379" w:hRule="atLeast"/>
        </w:trPr>
        <w:tc>
          <w:tcPr>
            <w:tcW w:w="43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Organ administracji publicznej,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sz w:val="18"/>
                <w:szCs w:val="18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 xml:space="preserve">    </w:t>
            </w: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Urząd Miasta Legionowo</w:t>
            </w:r>
          </w:p>
          <w:p>
            <w:pPr>
              <w:pStyle w:val="Normal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ul. Piłsudskiego 41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cs="Arial" w:ascii="Arial" w:hAnsi="Arial"/>
                <w:sz w:val="22"/>
                <w:szCs w:val="22"/>
              </w:rPr>
              <w:t>05-120 Legionowo</w:t>
            </w:r>
          </w:p>
        </w:tc>
      </w:tr>
      <w:tr>
        <w:trPr>
          <w:trHeight w:val="377" w:hRule="atLeast"/>
        </w:trPr>
        <w:tc>
          <w:tcPr>
            <w:tcW w:w="43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Rodzaj zadania publicznego</w:t>
            </w:r>
            <w:r>
              <w:rPr>
                <w:rStyle w:val="FootnoteReference"/>
                <w:rFonts w:eastAsia="Arial" w:cs="Calibri" w:ascii="Calibri" w:hAnsi="Calibri" w:asciiTheme="minorHAnsi" w:hAnsiTheme="minorHAnsi"/>
                <w:sz w:val="20"/>
                <w:szCs w:val="20"/>
              </w:rPr>
              <w:footnoteReference w:id="2"/>
            </w:r>
            <w:r>
              <w:rPr>
                <w:rFonts w:eastAsia="Arial" w:cs="Calibri" w:ascii="Calibri" w:hAnsi="Calibri" w:asciiTheme="minorHAnsi" w:hAnsi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cs="Arial" w:ascii="Arial" w:hAnsi="Arial"/>
                <w:sz w:val="22"/>
                <w:szCs w:val="22"/>
              </w:rPr>
              <w:t>Przeciwdziałanie uzależnieniom i patologiom społecznym</w:t>
            </w:r>
          </w:p>
        </w:tc>
      </w:tr>
    </w:tbl>
    <w:p>
      <w:pPr>
        <w:pStyle w:val="Normal"/>
        <w:jc w:val="both"/>
        <w:rPr>
          <w:rFonts w:ascii="Calibri" w:hAnsi="Calibri" w:eastAsia="Arial" w:cs="Calibri" w:asciiTheme="minorHAnsi" w:hAnsiTheme="minorHAnsi"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</w:r>
    </w:p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 xml:space="preserve">II. Dane oferenta(-tów) </w:t>
      </w:r>
    </w:p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i/>
          <w:i/>
          <w:color w:val="auto"/>
          <w:sz w:val="20"/>
          <w:szCs w:val="20"/>
        </w:rPr>
      </w:pPr>
      <w:r>
        <w:rPr>
          <w:rFonts w:cs="Verdana" w:ascii="Calibri" w:hAnsi="Calibri"/>
          <w:i/>
          <w:color w:val="auto"/>
          <w:sz w:val="20"/>
          <w:szCs w:val="20"/>
        </w:rPr>
      </w:r>
    </w:p>
    <w:tbl>
      <w:tblPr>
        <w:tblW w:w="10774" w:type="dxa"/>
        <w:jc w:val="start"/>
        <w:tblInd w:w="-74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391"/>
        <w:gridCol w:w="6383"/>
      </w:tblGrid>
      <w:tr>
        <w:trPr>
          <w:trHeight w:val="543" w:hRule="atLeast"/>
        </w:trPr>
        <w:tc>
          <w:tcPr>
            <w:tcW w:w="1077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ind w:hanging="283" w:start="317"/>
              <w:jc w:val="both"/>
              <w:rPr>
                <w:rFonts w:ascii="Calibri" w:hAnsi="Calibri" w:eastAsia="Arial" w:cs="Calibri" w:asciiTheme="minorHAnsi" w:hAnsiTheme="minorHAnsi"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>
        <w:trPr>
          <w:trHeight w:val="673" w:hRule="atLeast"/>
        </w:trPr>
        <w:tc>
          <w:tcPr>
            <w:tcW w:w="1077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cs="Arial" w:ascii="Arial" w:hAnsi="Arial"/>
                <w:sz w:val="22"/>
                <w:szCs w:val="22"/>
              </w:rPr>
              <w:t>Nazwa: Fundacja Share the Care, Forma prawna: Fundacja, Numer Krs: 0000810721, Kod pocztowy: 01-510, Poczta: 01-510 Warszawa, Miejscowość: Warszawa, Ulica: Gen. Zajączka, Numer posesji: 32, Województwo: mazowieckie, Powiat: Warszawa, Gmina: Żoliborz (dzielnica), Strona www: www.sharethecare.pl, Adres e-mail: witaj@sharethecare.pl, Numer telefonu: xxx xxx xxx</w:t>
            </w:r>
          </w:p>
        </w:tc>
      </w:tr>
      <w:tr>
        <w:trPr>
          <w:trHeight w:val="993" w:hRule="atLeast"/>
        </w:trPr>
        <w:tc>
          <w:tcPr>
            <w:tcW w:w="43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ind w:hanging="176" w:start="176"/>
              <w:rPr>
                <w:rFonts w:ascii="Calibri" w:hAnsi="Calibri" w:eastAsia="Arial" w:cs="Calibri" w:asciiTheme="minorHAnsi" w:hAnsiTheme="minorHAnsi"/>
                <w:i/>
                <w:i/>
                <w:sz w:val="18"/>
                <w:szCs w:val="18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eastAsia="Arial" w:cs="Calibri" w:ascii="Calibri" w:hAnsi="Calibri" w:asciiTheme="minorHAnsi" w:hAnsiTheme="minorHAnsi"/>
                <w:sz w:val="18"/>
                <w:szCs w:val="18"/>
              </w:rPr>
              <w:t xml:space="preserve"> (np. imię i nazwisko, numer telefonu, adres poczty elektronicznej)</w:t>
            </w:r>
          </w:p>
        </w:tc>
        <w:tc>
          <w:tcPr>
            <w:tcW w:w="63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cs="Arial" w:ascii="Arial" w:hAnsi="Arial"/>
                <w:sz w:val="22"/>
                <w:szCs w:val="22"/>
              </w:rPr>
              <w:t>Xxx xxx xxx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cs="Arial" w:ascii="Arial" w:hAnsi="Arial"/>
                <w:sz w:val="22"/>
                <w:szCs w:val="22"/>
              </w:rPr>
              <w:t>xxx xxx xxx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cs="Arial" w:ascii="Arial" w:hAnsi="Arial"/>
                <w:sz w:val="22"/>
                <w:szCs w:val="22"/>
              </w:rPr>
              <w:t>xxx xxx xxx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 xml:space="preserve">III. Zakres rzeczowy zadania publicznego </w:t>
      </w:r>
      <w:r>
        <w:rPr>
          <w:rFonts w:cs="Verdana" w:ascii="Calibri" w:hAnsi="Calibri" w:asciiTheme="minorHAnsi" w:hAnsiTheme="minorHAnsi"/>
          <w:color w:val="auto"/>
          <w:sz w:val="20"/>
          <w:szCs w:val="20"/>
        </w:rPr>
        <w:tab/>
      </w:r>
    </w:p>
    <w:tbl>
      <w:tblPr>
        <w:tblW w:w="10803" w:type="dxa"/>
        <w:jc w:val="start"/>
        <w:tblInd w:w="-71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795"/>
        <w:gridCol w:w="507"/>
        <w:gridCol w:w="1257"/>
        <w:gridCol w:w="949"/>
        <w:gridCol w:w="995"/>
        <w:gridCol w:w="1256"/>
        <w:gridCol w:w="1808"/>
        <w:gridCol w:w="35"/>
        <w:gridCol w:w="201"/>
      </w:tblGrid>
      <w:tr>
        <w:trPr>
          <w:trHeight w:val="377" w:hRule="atLeast"/>
        </w:trPr>
        <w:tc>
          <w:tcPr>
            <w:tcW w:w="430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265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Tata na medal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77" w:hRule="atLeast"/>
        </w:trPr>
        <w:tc>
          <w:tcPr>
            <w:tcW w:w="430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sz w:val="20"/>
                <w:szCs w:val="20"/>
                <w:vertAlign w:val="superscript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Termin realizacji zadania publicznego</w:t>
            </w:r>
            <w:r>
              <w:rPr>
                <w:rStyle w:val="FootnoteReference"/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footnoteReference w:id="3"/>
            </w: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Data rozpoczęcia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10.04.2026</w:t>
            </w:r>
          </w:p>
        </w:tc>
        <w:tc>
          <w:tcPr>
            <w:tcW w:w="12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Data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zakończenia</w:t>
            </w:r>
          </w:p>
        </w:tc>
        <w:tc>
          <w:tcPr>
            <w:tcW w:w="18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25. 06.2026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16" w:hRule="atLeast"/>
        </w:trPr>
        <w:tc>
          <w:tcPr>
            <w:tcW w:w="10567" w:type="dxa"/>
            <w:gridSpan w:val="7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DDD9C3" w:val="clear"/>
            <w:tcMar>
              <w:start w:w="0" w:type="dxa"/>
              <w:end w:w="0" w:type="dxa"/>
            </w:tcMar>
            <w:vAlign w:val="center"/>
          </w:tcPr>
          <w:p>
            <w:pPr>
              <w:pStyle w:val="Normal"/>
              <w:widowControl w:val="false"/>
              <w:ind w:hanging="34" w:start="176"/>
              <w:rPr>
                <w:rFonts w:ascii="Calibri" w:hAnsi="Calibri" w:eastAsia="Arial" w:cs="Calibri"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>3. Syntetyczny opis zadania (wraz ze wskazaniem miejsca jego realizacji)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81" w:hRule="atLeast"/>
        </w:trPr>
        <w:tc>
          <w:tcPr>
            <w:tcW w:w="10567" w:type="dxa"/>
            <w:gridSpan w:val="7"/>
            <w:tcBorders>
              <w:top w:val="single" w:sz="8" w:space="0" w:color="000000"/>
              <w:start w:val="single" w:sz="8" w:space="0" w:color="000000"/>
              <w:bottom w:val="single" w:sz="4" w:space="0" w:color="000000"/>
              <w:end w:val="single" w:sz="8" w:space="0" w:color="000000"/>
            </w:tcBorders>
            <w:tcMar>
              <w:start w:w="0" w:type="dxa"/>
              <w:end w:w="0" w:type="dxa"/>
            </w:tcMar>
          </w:tcPr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Fundacja Share the Care od ponad czterech lat aktywnie działa na rzecz wspierania ojców i promowania zaangażowanego, partnerskiego ojcostwa. Realizuje ogólnopolskie kampanie społeczne, działania edukacyjne, warsztaty i webinary skierowane bezpośrednio do mężczyzn, a także współpracuje z samorządami oraz kluczowymi instytucjami publicznymi, takimi jak Państwowa Inspekcja Pracy, Zakład Ubezpieczeń Społecznych, Ministerstwo Rodziny oraz Ministerstwo Zdrowia. Dzięki temu Fundacja posiada unikalne doświadczenie w pracy z ojcami oraz szeroką perspektywę systemową, łączącą wymiar indywidualny, rodzinny i instytucjonalny.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Podstawą projektowanych działań jest założenie, że bycie tatą to nie tylko fakt biologiczny, ale przede wszystkim głęboka przemiana psychologiczna i emocjonalna, wymagająca zbudowania nowej tożsamości. Współcześni ojcowie coraz częściej deklarują chęć aktywnego zaangażowania w wychowanie dzieci, jednak równocześnie mierzą się z poczuciem przeciążenia, brakiem jasnych wzorców, trudnościami w radzeniu sobie z emocjami oraz deficytem wiedzy dotyczącej relacji, komunikacji i własnej roli w rodzinie. Nadal brakuje systemowej, dostępnej i skierowanej bezpośrednio do ojców edukacji, która odpowiadałaby na ich realne potrzeby.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Proponowane warsztaty stanowią odpowiedź na te wyzwania. Poprzez połączenie rzetelnej wiedzy psychologicznej, pracy warsztatowej, ćwiczeń praktycznych oraz wymiany doświadczeń w bezpiecznej grupie, uczestnicy otrzymują konkretne narzędzia do budowania relacji z dziećmi, radzenia sobie z emocjami, komunikacji bez przemocy oraz dbania o własny dobrostan. Warsztaty wzmacniają poczucie sprawczości ojców, normalizują ich trudności i tworzą przestrzeń do refleksji nad własnym stylem ojcostwa.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Działania te są komplementarne wobec innych inicjatyw realizowanych przez Fundację Share the Care, takich jak kampanie społeczne promujące zaangażowane ojcostwo, webinary prawne i psychologiczne dla rodziców, grupy wsparcia dla ojców oraz współpraca z instytucjami publicznymi i samorządami w zakresie równości rodzicielskiej. Warsztaty były już kilkukrotnie realizowane przez Fundację w różnych lokalizacjach i każdorazowo spotykały się z bardzo pozytywnym odbiorem uczestników. Ich skuteczność i zasadność zostały potwierdzone poprzez ankiety ewaluacyjne, w których uczestnicy wskazywali na realny wzrost kompetencji, poczucia pewności w roli ojca oraz poprawę relacji rodzinnych.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Realizacja zadania w Legionowie pozwoli na lokalne wzmocnienie ojców i rodzin, a jednocześnie wpisze się w długofalowe, ogólnopolskie działania Fundacji, tworząc spójną i trwałą ofertę wsparcia dla mężczyzn w roli ojców.Zadanie „Tata na medal” odpowiada na potrzebę Miasta Legionowo.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Projekt stanowi bezpośrednią kontynuację działań podjętych w ramach pierwszej edycji warsztatów „Tata na medal”, która zakończyła się ogromnym sukcesem merytorycznym i frekwencyjnym. Poprzednia odsłona programu spotkała się z wyjątkowo dużym zainteresowaniem mieszkańców Legionowa – liczba zgłoszeń znacznie przewyższyła dostępne miejsca, co potwierdziło pilną potrzebę stworzenia w mieście przestrzeni dedykowanej wyłącznie ojcom. Entuzjastyczne opinie uczestników oraz sygnały o dalszym zapotrzebowaniu na tego typu wsparcie skłoniły nas do przygotowania kolejnej edycji, obejmującej dwa nowe edycje warsztatowe.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textAlignment w:val="baseline"/>
              <w:rPr>
                <w:rFonts w:ascii="Arial" w:hAnsi="Arial" w:cs="Arial"/>
                <w:color w:val="222222"/>
                <w:sz w:val="22"/>
                <w:szCs w:val="22"/>
              </w:rPr>
            </w:pPr>
            <w:r>
              <w:rPr>
                <w:rFonts w:cs="Arial" w:ascii="Arial" w:hAnsi="Arial"/>
                <w:color w:val="222222"/>
                <w:sz w:val="22"/>
                <w:szCs w:val="22"/>
              </w:rPr>
              <w:t>Projekt polega na realizacji dwóch cykli warsztatów (turnusów) wspierających ojców z terenu Legionowa. Każdy cykl obejmie programem 15 stałych uczestników. Celem jest wzmacnianie kompetencji rodzicielskich, emocjonalnych i komunikacyjnych mężczyzn oraz profilaktyka kryzysów rodzinnych. Każdy cykl obejmuje 6 spotkań rozwojowych prowadzonych przez psychoterapeutę Marcina Grudnia.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textAlignment w:val="baseline"/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</w:pPr>
            <w:r>
              <w:rPr>
                <w:rFonts w:cs="Arial" w:ascii="Arial" w:hAnsi="Arial"/>
                <w:color w:val="222222"/>
                <w:sz w:val="22"/>
                <w:szCs w:val="22"/>
              </w:rPr>
              <w:br/>
            </w:r>
            <w:r>
              <w:rPr>
                <w:rFonts w:cs="Arial" w:ascii="Arial" w:hAnsi="Arial"/>
                <w:sz w:val="22"/>
                <w:szCs w:val="22"/>
              </w:rPr>
              <w:t xml:space="preserve">Spotkania realizowane będą w małej, kameralnej grupie, co umożliwi stworzenie bezpiecznej przestrzeni do rozmowy, refleksji i wymiany doświadczeń. Warsztaty będą miały charakter praktyczny i interaktywny, łącząc elementy pracy warsztatowej, ćwiczeń, mini-wykładów oraz moderowanych dyskusji. Ich celem jest wzmacnianie kompetencji emocjonalnych, wychowawczych i komunikacyjnych ojców, budowanie bezpiecznej relacji z dzieckiem, rozwijanie umiejętności stawiania granic bez przemocy, radzenia sobie ze stresem rodzicielskim oraz zwiększanie poczucia sprawczości i pewności w roli ojca. 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Gwkaistopkaus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Za</w:t>
            </w:r>
            <w:r>
              <w:rPr>
                <w:rStyle w:val="Strong"/>
                <w:rFonts w:cs="Arial" w:ascii="Arial" w:hAnsi="Arial"/>
                <w:sz w:val="22"/>
                <w:szCs w:val="22"/>
              </w:rPr>
              <w:t>kres tematyczny spotkań: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Emphasis"/>
                <w:rFonts w:cs="Arial" w:ascii="Arial" w:hAnsi="Arial"/>
                <w:i w:val="false"/>
                <w:iCs w:val="false"/>
                <w:sz w:val="22"/>
                <w:szCs w:val="22"/>
              </w:rPr>
              <w:t>Być tatą – rola ojca w życiu dziecka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Emphasis"/>
                <w:rFonts w:cs="Arial" w:ascii="Arial" w:hAnsi="Arial"/>
                <w:i w:val="false"/>
                <w:iCs w:val="false"/>
                <w:sz w:val="22"/>
                <w:szCs w:val="22"/>
              </w:rPr>
              <w:t>Relacja zamiast racji – budowanie więzi i bliskości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Emphasis"/>
                <w:rFonts w:cs="Arial" w:ascii="Arial" w:hAnsi="Arial"/>
                <w:i w:val="false"/>
                <w:iCs w:val="false"/>
                <w:sz w:val="22"/>
                <w:szCs w:val="22"/>
              </w:rPr>
              <w:t>Słyszę Cię, Tato – komunikacja bez krzyku i moralizowania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Emphasis"/>
                <w:rFonts w:cs="Arial" w:ascii="Arial" w:hAnsi="Arial"/>
                <w:i w:val="false"/>
                <w:iCs w:val="false"/>
                <w:sz w:val="22"/>
                <w:szCs w:val="22"/>
              </w:rPr>
              <w:t>Złość, strach i bezradność – emocje ojca i dziecka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Emphasis"/>
                <w:rFonts w:cs="Arial" w:ascii="Arial" w:hAnsi="Arial"/>
                <w:i w:val="false"/>
                <w:iCs w:val="false"/>
                <w:sz w:val="22"/>
                <w:szCs w:val="22"/>
              </w:rPr>
              <w:t>Granice, które dają bezpieczeństwo – wychowanie bez przemocy</w:t>
            </w:r>
          </w:p>
          <w:p>
            <w:pPr>
              <w:pStyle w:val="Gwkaistopkauser"/>
              <w:rPr>
                <w:rStyle w:val="Emphasis"/>
                <w:rFonts w:ascii="Arial" w:hAnsi="Arial" w:cs="Arial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Style w:val="Emphasis"/>
                <w:rFonts w:cs="Arial" w:ascii="Arial" w:hAnsi="Arial"/>
                <w:i w:val="false"/>
                <w:iCs w:val="false"/>
                <w:sz w:val="22"/>
                <w:szCs w:val="22"/>
              </w:rPr>
              <w:t>Tata też człowiek – radzenie sobie ze stresem i dbanie o siebie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Zajęcia będą realizowane stacjonarnie w Legionowie, w bezpiecznej, kameralnej formule warsztatowej, sprzyjającej wymianie doświadczeń, refleksji i uczeniu się poprzez praktykę w przestrzeni zapewnionej przez miasto: Legionowskie Centrum Integracji i Organizacji Pozarządowych, ul 3 Maja 28, 05-120 Legionowo- na podstawie umowy użyczenia Sali.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Bezpośrednimi odbiorcami zadania są ojcowie dzieci w wieku do  6 lat, w tym mężczyźni funkcjonujący w rodzinach pełnych, patchworkowych oraz samotni ojcowie. Są to osoby, które chcą aktywnie i świadomie uczestniczyć w życiu rodzinnym, budować bliskie relacje z dziećmi oraz rozwijać swoje kompetencje wychowawcze, emocjonalne i komunikacyjne. Jednocześnie jest to grupa, która często doświadcza braku dedykowanego wsparcia edukacyjnego i psychologicznego, ponieważ większość programów kierowanych do rodziców nadal koncentruje się głównie na matkach.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Pośrednimi odbiorcami są całe rodziny, ponieważ na podniesieniu kompetencji rodzicielskich i większym zaangażowaniu w wychowywanie dziecka od samego początku korzysta cała rodzina.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Promocja warsztatów będzie odbywała się zarówno na stronie i FB Fundacji jak i stronie i mediach społecznościowych Miasta Legionowo.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Gwkaistopkaus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Opis rezultatów: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Realizacja zadania publicznego przyniesie wymierne i trwałe rezultaty zarówno na poziomie bezpośrednich uczestników, jak i w szerszym wymiarze społecznym. Bezpośrednim efektem realizacji oferty będzie przeprowadzenie siedmiu spotkań warsztatowych: cyklu sześciu warsztatów dla ojców „Tata na medal” 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 działaniach weźmie udział 30 mężczyzn 9 2 cykle po 15 uczestników), którzy uzyskają dostęp do specjalistycznej, rzetelnej wiedzy psychologicznej oraz praktycznych narzędzi wspierających pełnienie roli ojca. Uczestnicy rozwiną kompetencje w zakresie budowania bezpiecznej relacji z dzieckiem, komunikacji bez przemocy, radzenia sobie z emocjami i stresem rodzicielskim, stawiania granic oraz dbania o własny dobrostan. Efektem będzie także wzrost poczucia sprawczości, pewności siebie i świadomości roli ojca w życiu dziecka i rodziny. 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 warsztatach zostanie przeprowadzona ankieta ewaluacyjna, która potwierdzi skuteczność przeprowadzonych działań.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Realizacja zadania przyczyni się do osiągnięcia istotnej zmiany społecznej w obszarze funkcjonowania rodzin i postrzegania roli ojca. Projekt będzie sprzyjał zwiększeniu zaangażowania mężczyzn w życie rodzinne, wychowanie dzieci oraz partnerskie relacje z matkami dzieci. W dłuższej perspektywie działania te wpłyną na poprawę jakości relacji ojciec–dziecko oraz relacji partnerskich, ograniczenie zachowań przemocowych i eskalacji konfliktów w rodzinach, a także na profilaktykę kryzysów wychowawczych i emocjonalnych. Projekt wzmacnia model rodziny oparty na partnerstwie, współodpowiedzialności i uważności na potrzeby wszystkich jej członków, odpowiadając na aktualne wyzwania społeczne związane z dynamicznie zmieniającą się rolą ojca.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Rezultaty osiągnięte w trakcie realizacji zadania będą miały charakter trwały i będą wykorzystywane w dalszych działaniach Fundacji Share the Care. Uczestnicy warsztatów będą stosować zdobyte kompetencje i narzędzia w codziennym życiu rodzinnym, co przełoży się na długofalowe zmiany w funkcjonowaniu ich rodzin. Wypracowane materiały, scenariusze warsztatowe oraz doświadczenia organizacyjne zostaną wykorzystane w kolejnych edycjach programu oraz w innych projektach edukacyjnych Fundacji, realizowanych we współpracy z samorządami i instytucjami publicznymi. </w:t>
            </w:r>
          </w:p>
          <w:p>
            <w:pPr>
              <w:pStyle w:val="NormalWeb"/>
              <w:spacing w:before="28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Projekt pilotażowy w Legionowie stanowić będzie podstawę do dalszego rozwoju i upowszechniania oferty wsparcia dla ojców, wzmacniając trwałość i skalowalność osiągniętych rezultatów.</w:t>
            </w:r>
          </w:p>
        </w:tc>
        <w:tc>
          <w:tcPr>
            <w:tcW w:w="236" w:type="dxa"/>
            <w:gridSpan w:val="2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602" w:type="dxa"/>
            <w:gridSpan w:val="8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</w:tcPr>
          <w:p>
            <w:pPr>
              <w:pStyle w:val="Normal"/>
              <w:ind w:hanging="283" w:start="317"/>
              <w:jc w:val="both"/>
              <w:rPr>
                <w:rFonts w:ascii="Calibri" w:hAnsi="Calibri" w:cs="Calibri" w:asciiTheme="minorHAnsi" w:hAnsiTheme="minorHAnsi"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4. Opis zakładanych rezultatów realizacji zadania publicznego</w:t>
            </w:r>
          </w:p>
        </w:tc>
        <w:tc>
          <w:tcPr>
            <w:tcW w:w="201" w:type="dxa"/>
            <w:tcBorders/>
          </w:tcPr>
          <w:p>
            <w:pPr>
              <w:pStyle w:val="Normal"/>
              <w:spacing w:lineRule="atLeast" w:line="0" w:before="0" w:after="0"/>
              <w:rPr>
                <w:sz w:val="2"/>
              </w:rPr>
            </w:pPr>
            <w:r>
              <w:rPr>
                <w:sz w:val="2"/>
              </w:rPr>
            </w:r>
          </w:p>
        </w:tc>
      </w:tr>
      <w:tr>
        <w:trPr/>
        <w:tc>
          <w:tcPr>
            <w:tcW w:w="37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1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094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  <w:tc>
          <w:tcPr>
            <w:tcW w:w="201" w:type="dxa"/>
            <w:tcBorders/>
          </w:tcPr>
          <w:p>
            <w:pPr>
              <w:pStyle w:val="Normal"/>
              <w:spacing w:lineRule="atLeast" w:line="0" w:before="0" w:after="0"/>
              <w:rPr>
                <w:sz w:val="2"/>
              </w:rPr>
            </w:pPr>
            <w:r>
              <w:rPr>
                <w:sz w:val="2"/>
              </w:rPr>
            </w:r>
          </w:p>
        </w:tc>
      </w:tr>
      <w:tr>
        <w:trPr/>
        <w:tc>
          <w:tcPr>
            <w:tcW w:w="37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Arial" w:ascii="Arial" w:hAnsi="Arial"/>
                <w:bCs/>
                <w:color w:val="auto"/>
                <w:sz w:val="22"/>
                <w:szCs w:val="22"/>
              </w:rPr>
              <w:t>2 cykle potkań dla ojców „Tata na medal” (2 grupy x 6 spotkań)</w:t>
            </w:r>
          </w:p>
        </w:tc>
        <w:tc>
          <w:tcPr>
            <w:tcW w:w="271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Arial" w:ascii="Arial" w:hAnsi="Arial"/>
                <w:color w:val="auto"/>
                <w:sz w:val="22"/>
                <w:szCs w:val="22"/>
              </w:rPr>
              <w:t>12 spotkań</w:t>
            </w:r>
          </w:p>
        </w:tc>
        <w:tc>
          <w:tcPr>
            <w:tcW w:w="4094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cs="Arial" w:ascii="Arial" w:hAnsi="Arial"/>
                <w:color w:val="auto"/>
                <w:sz w:val="22"/>
                <w:szCs w:val="22"/>
              </w:rPr>
              <w:t>12 przeprowadzonych spotkań</w:t>
            </w:r>
          </w:p>
        </w:tc>
        <w:tc>
          <w:tcPr>
            <w:tcW w:w="201" w:type="dxa"/>
            <w:tcBorders/>
          </w:tcPr>
          <w:p>
            <w:pPr>
              <w:pStyle w:val="Normal"/>
              <w:spacing w:lineRule="atLeast" w:line="0" w:before="0" w:after="0"/>
              <w:rPr>
                <w:sz w:val="2"/>
              </w:rPr>
            </w:pPr>
            <w:r>
              <w:rPr>
                <w:sz w:val="2"/>
              </w:rPr>
            </w:r>
          </w:p>
        </w:tc>
      </w:tr>
      <w:tr>
        <w:trPr/>
        <w:tc>
          <w:tcPr>
            <w:tcW w:w="37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Arial" w:ascii="Arial" w:hAnsi="Arial"/>
                <w:color w:val="auto"/>
                <w:sz w:val="22"/>
                <w:szCs w:val="22"/>
              </w:rPr>
              <w:t>Liczba osób, które wezmą udział w projekcie</w:t>
            </w:r>
          </w:p>
        </w:tc>
        <w:tc>
          <w:tcPr>
            <w:tcW w:w="271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30 mężczyzn</w:t>
            </w:r>
          </w:p>
        </w:tc>
        <w:tc>
          <w:tcPr>
            <w:tcW w:w="4094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30 przeszkolonych mężczyzn</w:t>
            </w:r>
          </w:p>
        </w:tc>
        <w:tc>
          <w:tcPr>
            <w:tcW w:w="201" w:type="dxa"/>
            <w:tcBorders/>
          </w:tcPr>
          <w:p>
            <w:pPr>
              <w:pStyle w:val="Normal"/>
              <w:spacing w:lineRule="atLeast" w:line="0" w:before="0" w:after="0"/>
              <w:rPr>
                <w:sz w:val="2"/>
              </w:rPr>
            </w:pPr>
            <w:r>
              <w:rPr>
                <w:sz w:val="2"/>
              </w:rPr>
            </w:r>
          </w:p>
        </w:tc>
      </w:tr>
    </w:tbl>
    <w:p>
      <w:pPr>
        <w:pStyle w:val="Normal"/>
        <w:widowControl w:val="false"/>
        <w:tabs>
          <w:tab w:val="clear" w:pos="720"/>
          <w:tab w:val="left" w:pos="5625" w:leader="none"/>
        </w:tabs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/>
          <w:color w:val="auto"/>
          <w:sz w:val="16"/>
          <w:szCs w:val="16"/>
        </w:rPr>
      </w:r>
    </w:p>
    <w:tbl>
      <w:tblPr>
        <w:tblW w:w="5000" w:type="pct"/>
        <w:jc w:val="start"/>
        <w:tblInd w:w="-829" w:type="dxa"/>
        <w:tblLayout w:type="fixed"/>
        <w:tblCellMar>
          <w:top w:w="0" w:type="dxa"/>
          <w:start w:w="10" w:type="dxa"/>
          <w:bottom w:w="0" w:type="dxa"/>
          <w:end w:w="10" w:type="dxa"/>
        </w:tblCellMar>
        <w:tblLook w:firstRow="1" w:noVBand="1" w:lastRow="0" w:firstColumn="1" w:lastColumn="0" w:noHBand="0" w:val="04a0"/>
      </w:tblPr>
      <w:tblGrid>
        <w:gridCol w:w="9212"/>
      </w:tblGrid>
      <w:tr>
        <w:trPr>
          <w:trHeight w:val="374" w:hRule="atLeast"/>
        </w:trPr>
        <w:tc>
          <w:tcPr>
            <w:tcW w:w="9212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DDD9C3" w:val="clear"/>
            <w:vAlign w:val="center"/>
          </w:tcPr>
          <w:p>
            <w:pPr>
              <w:pStyle w:val="Normal"/>
              <w:ind w:hanging="283" w:start="317"/>
              <w:jc w:val="both"/>
              <w:rPr>
                <w:rFonts w:ascii="Calibri" w:hAnsi="Calibri" w:eastAsia="Arial" w:cs="Calibri"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>
        <w:trPr>
          <w:trHeight w:val="999" w:hRule="atLeast"/>
        </w:trPr>
        <w:tc>
          <w:tcPr>
            <w:tcW w:w="9212" w:type="dxa"/>
            <w:tcBorders>
              <w:top w:val="single" w:sz="8" w:space="0" w:color="000000"/>
              <w:start w:val="single" w:sz="8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Web"/>
              <w:spacing w:before="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Fundacja od początku swojej działalności zabiegała o praktyczne wdrożenie dyrektywy work-life balance w Polsce. Zajmujemy się edukowaniem społeczeństwa w temacie partnerstwa i równości w rodzicielstwie. Regularnie prowadzimy bezpłatne webinary prawne dla rodziców na temat ich praw po urodzeniu się dziecka, oraz webinary psychologiczne na temat partnerstwa w rodzicielstwie. Prowadzimy portal www.teamrodzina.pl - pierwszy w Polsce portal parentingowy, w którego centrum są rodzice (a nie dzieci!). Piszemy o relacjach między rodzicami, o relacjach rodziców z dziećmi, potrzebie realizowania się w innych sferach życia, kwestiach zawodowych, finansowych, prawnych i społecznych. Nagrywamy od 4 lat podcast Team Rodzina-rozmowy o partnerstwie - rozmowy na temat różnych aspektów rodzicielstwa. Prowadzimy też badania pozwalające lepiej zrozumieć potrzeby współczesnych rodziców. Przygotowujemy przewodniki oraz kampanie dla rodziców i pracodawców. Prowadzimy bezpłatne konsultacje prawne dla rodziców na temat dzielenia się urlopem rodzicielskim. 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Współpracujemy z innymi organizacjami pozarządowymi, którym przyświeca ten sam cel – budowanie równości we wszystkich obszarach życia. W 2024 r. podpisaliśmy 5-letnie partnerstwo z ZUS, by wspólnie działać na rzecz równości rodzicielskiej w Polsce.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Fundacja była partnerem merytorycznym kampanii i rankingów dotyczących równości w rodzicielstwie między innymi, w konkursie "Równowaga"-organizowanym przez Fundację Kulczyk, "Rodzice na Etacie"-ogranizowanym przez Forbes, "Tata w domu"-kampanię społeczną organizowaną przez Onet oraz najnowszą Kampanię OLX-"Praca z korzyścią dla wszystkich". W roku 2024 przeprowadziłyśmy bezpłatne Eventy-wydarzenia dla rodziców oraz</w:t>
              <w:br/>
              <w:t xml:space="preserve">pracodawców dotyczące partnerstwa i wyrównywania szans na rynku pracy oraz w domu- 2 z nich pod patronatem honorowym Ministerstwa Rodziny Pracy i Polityki Społecznej. 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Od 2025 roku Fundacja jest członkiem zespołu do spraw opracopwania rozwiązań w zakresue wsprcia rodziców doświadczających utraty ciąży oraz śmierci dziecka  w Ministerstwie Rodziny, Pracy i Polityki Społecznej.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Fundacja prowadzi co roku również swoje kampanie społeczne: Równi w domu-Równi w pracy- wspierające pracodawców w dążeniu do równości rodzicielskiej na rynku pracy, Proud to be a working Mum-kampanii promująca aktywność zawodową kobiet oraz Facet na 100 Pro-kampania.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Fundacja już kilkukrotnie realizowane w różnych lokalizacjach warsztyty i grupy wsparcia on line dla ojców. Spotykały się one z bardzo pozytywnym odbiorem uczestników. Ich skuteczność została potwierdzona poprzez ankiety ewaluacyjne.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Więcej o Fundacji: www.sharethecare.pl, Portal fundacji: www.teamrodzina.pl </w:t>
            </w:r>
          </w:p>
          <w:p>
            <w:pPr>
              <w:pStyle w:val="NormalWeb"/>
              <w:spacing w:before="280" w:after="28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Zasoby wykorzystane do realizacji zadania: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Fundacja ściśle współpracuje z wieloma ekspertami psychologii, socjologii i prawa. Wszystkie publikacje fuindacji i wydarzenia są oparte na danych oraz wiedzy profesjonalistów.</w:t>
              <w:br/>
              <w:t xml:space="preserve">Spotkanie dla ojców i przyszłych ojców zostaną przygotowane i poporowadzone przez współpracującego z fundacją psychologa. 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Gwkaistopkaus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Zasoby ludzkie:</w:t>
            </w:r>
          </w:p>
          <w:p>
            <w:pPr>
              <w:pStyle w:val="Gwkaistopkauser"/>
              <w:rPr>
                <w:rFonts w:ascii="Arial" w:hAnsi="Arial" w:cs="Arial"/>
                <w:spacing w:val="1"/>
                <w:sz w:val="22"/>
                <w:szCs w:val="22"/>
                <w:shd w:fill="FFFFFF" w:val="clear"/>
              </w:rPr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Marcin Grudzień –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FFFFFF" w:val="clear"/>
              </w:rPr>
              <w:t xml:space="preserve"> Ambasador Fundacji Share the Care, doświadczony psychoterapeuta integracyjny i systemowy, trener grup wsparcia dla rodziców. Tata dwóch córek. Pracuje z pacjentami indywidualnymi i rodzinami w ramach</w:t>
            </w:r>
            <w:r>
              <w:rPr>
                <w:rStyle w:val="apple-converted-space"/>
                <w:rFonts w:cs="Arial" w:ascii="Arial" w:hAnsi="Arial"/>
                <w:color w:themeColor="text1" w:val="000000"/>
                <w:spacing w:val="1"/>
                <w:sz w:val="22"/>
                <w:szCs w:val="22"/>
                <w:u w:val="single"/>
              </w:rPr>
              <w:t> </w:t>
            </w:r>
            <w:r>
              <w:rPr>
                <w:rFonts w:cs="Arial" w:ascii="Arial" w:hAnsi="Arial"/>
                <w:spacing w:val="1"/>
                <w:sz w:val="22"/>
                <w:szCs w:val="22"/>
              </w:rPr>
              <w:t>Pracowni Bliski Relacji.</w:t>
            </w:r>
            <w:r>
              <w:rPr>
                <w:rStyle w:val="apple-converted-space"/>
                <w:rFonts w:cs="Arial" w:ascii="Arial" w:hAnsi="Arial"/>
                <w:color w:themeColor="text1" w:val="000000"/>
                <w:spacing w:val="1"/>
                <w:sz w:val="22"/>
                <w:szCs w:val="22"/>
                <w:shd w:fill="FFFFFF" w:val="clear"/>
              </w:rPr>
              <w:t> 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FFFFFF" w:val="clear"/>
              </w:rPr>
              <w:t>Od lat prowadzi warsztaty rozwojowe i grupy wsparcia dla mężczyzn, m.in. na temat relacji ojców z córkami i z dziećmi z niepełnosprawnościami oraz męskie kręgi. Obowiązki w projekcie:</w:t>
            </w:r>
          </w:p>
          <w:p>
            <w:pPr>
              <w:pStyle w:val="Gwkaistopkauser"/>
              <w:rPr>
                <w:rFonts w:ascii="Arial" w:hAnsi="Arial" w:cs="Arial"/>
                <w:spacing w:val="1"/>
                <w:sz w:val="22"/>
                <w:szCs w:val="22"/>
                <w:shd w:fill="FFFFFF" w:val="clear"/>
              </w:rPr>
            </w:pPr>
            <w:r>
              <w:rPr>
                <w:rFonts w:cs="Arial" w:ascii="Arial" w:hAnsi="Arial"/>
                <w:sz w:val="22"/>
                <w:szCs w:val="22"/>
              </w:rPr>
              <w:t>-Prowadzenie 12 spotkań dla ojców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Małgorzata Adamowicz, Fundacja Share the Care- zaangażowanie organizacyjne, eksperckie i zarządcze osoby, odpowiedzialnej za kompleksową koordynację projektu oraz ewaluacje.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Obowiązki w projekcie:</w:t>
              <w:br/>
              <w:t xml:space="preserve">-koordynacja całego projektu 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-przygotowanie i publikacja materiałów</w:t>
              <w:br/>
              <w:t>-monitorowanie postępów projektu</w:t>
              <w:br/>
              <w:t xml:space="preserve">-identyfikacja i zarządzanie potencjalnymi opóźnieniami lub problemami </w:t>
              <w:br/>
              <w:t xml:space="preserve">-dokumentacja i raportowanie: utrzymywanie pełnej i dokładnej dokumentacji projektu.  </w:t>
              <w:br/>
              <w:t>-zapewnienie zgodności z regulacjami i wytycznymi grantodawcy</w:t>
              <w:br/>
              <w:t>-rozliczenie projektu</w:t>
              <w:br/>
              <w:t xml:space="preserve">-sprawozdawczość końcowa 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Sala do przeprowadzenia spotkań i warsztatów zostanie udostępniona nieodpłatnie oraz przez Miasto Legionowo na podstawie umowy użyczenia.</w:t>
            </w:r>
          </w:p>
          <w:p>
            <w:pPr>
              <w:pStyle w:val="Gwkaistopkaus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IV.</w:t>
        <w:tab/>
        <w:t>Szacunkowa kalkulacja kosztów realizacji zadania publicznego</w:t>
      </w:r>
    </w:p>
    <w:p>
      <w:pPr>
        <w:pStyle w:val="Normal"/>
        <w:ind w:end="567"/>
        <w:rPr>
          <w:i/>
          <w:i/>
          <w:sz w:val="20"/>
        </w:rPr>
      </w:pPr>
      <w:r>
        <w:rPr>
          <w:i/>
          <w:sz w:val="20"/>
        </w:rPr>
      </w:r>
    </w:p>
    <w:tbl>
      <w:tblPr>
        <w:tblStyle w:val="Tabela-Siatka1"/>
        <w:tblW w:w="7654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50"/>
        <w:gridCol w:w="3401"/>
        <w:gridCol w:w="1135"/>
        <w:gridCol w:w="1132"/>
        <w:gridCol w:w="1136"/>
      </w:tblGrid>
      <w:tr>
        <w:trPr>
          <w:trHeight w:val="562" w:hRule="atLeast"/>
        </w:trPr>
        <w:tc>
          <w:tcPr>
            <w:tcW w:w="850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0"/>
              </w:rPr>
            </w:pPr>
            <w:r>
              <w:rPr>
                <w:rFonts w:eastAsia="Calibri" w:cs="" w:ascii="Calibri" w:hAnsi="Calibri"/>
                <w:b/>
                <w:kern w:val="0"/>
                <w:sz w:val="20"/>
                <w:lang w:val="pl-PL" w:eastAsia="en-US" w:bidi="ar-SA"/>
              </w:rPr>
              <w:t>Lp.</w:t>
            </w:r>
          </w:p>
        </w:tc>
        <w:tc>
          <w:tcPr>
            <w:tcW w:w="3401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0"/>
              </w:rPr>
            </w:pPr>
            <w:r>
              <w:rPr>
                <w:rFonts w:eastAsia="Calibri" w:cs="" w:ascii="Calibri" w:hAnsi="Calibri"/>
                <w:b/>
                <w:kern w:val="0"/>
                <w:sz w:val="20"/>
                <w:lang w:val="pl-PL" w:eastAsia="en-US" w:bidi="ar-SA"/>
              </w:rPr>
              <w:t>Rodzaj kosztu</w:t>
            </w:r>
          </w:p>
        </w:tc>
        <w:tc>
          <w:tcPr>
            <w:tcW w:w="1135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0"/>
              </w:rPr>
            </w:pPr>
            <w:r>
              <w:rPr>
                <w:rFonts w:eastAsia="Calibri" w:cs="" w:ascii="Calibri" w:hAnsi="Calibri"/>
                <w:b/>
                <w:kern w:val="0"/>
                <w:sz w:val="20"/>
                <w:lang w:val="pl-PL" w:eastAsia="en-US" w:bidi="ar-SA"/>
              </w:rPr>
              <w:t>Wartość PLN</w:t>
            </w:r>
          </w:p>
        </w:tc>
        <w:tc>
          <w:tcPr>
            <w:tcW w:w="1132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0"/>
              </w:rPr>
            </w:pPr>
            <w:r>
              <w:rPr>
                <w:rFonts w:eastAsia="Calibri" w:cs="" w:ascii="Calibri" w:hAnsi="Calibri"/>
                <w:b/>
                <w:kern w:val="0"/>
                <w:sz w:val="20"/>
                <w:lang w:val="pl-PL" w:eastAsia="en-US" w:bidi="ar-SA"/>
              </w:rPr>
              <w:t>Z dotacji</w:t>
            </w:r>
          </w:p>
        </w:tc>
        <w:tc>
          <w:tcPr>
            <w:tcW w:w="1136" w:type="dxa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sz w:val="20"/>
              </w:rPr>
            </w:pPr>
            <w:r>
              <w:rPr>
                <w:rFonts w:eastAsia="Calibri" w:cs="" w:ascii="Calibri" w:hAnsi="Calibri"/>
                <w:b/>
                <w:kern w:val="0"/>
                <w:sz w:val="20"/>
                <w:lang w:val="pl-PL" w:eastAsia="en-US" w:bidi="ar-SA"/>
              </w:rPr>
              <w:t>Z innych źródeł</w:t>
            </w:r>
          </w:p>
        </w:tc>
      </w:tr>
      <w:tr>
        <w:trPr/>
        <w:tc>
          <w:tcPr>
            <w:tcW w:w="85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eastAsia="Calibri" w:cs="Calibri" w:ascii="Calibri" w:hAnsi="Calibri" w:cstheme="minorHAnsi"/>
                <w:kern w:val="0"/>
                <w:sz w:val="20"/>
                <w:lang w:val="pl-PL" w:eastAsia="en-US" w:bidi="ar-SA"/>
              </w:rPr>
              <w:t>1.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eastAsia="Calibri" w:cs="Arial" w:ascii="Arial" w:hAnsi="Arial"/>
                <w:bCs/>
                <w:color w:val="auto"/>
                <w:kern w:val="0"/>
                <w:sz w:val="22"/>
                <w:szCs w:val="22"/>
                <w:lang w:val="pl-PL" w:eastAsia="en-US" w:bidi="ar-SA"/>
              </w:rPr>
              <w:t>2 cykl potkań dla ojców „Tata na medal” ( 2 grupy x 6 spotkań)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9 000</w:t>
            </w:r>
          </w:p>
        </w:tc>
        <w:tc>
          <w:tcPr>
            <w:tcW w:w="1132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9 000</w:t>
            </w:r>
          </w:p>
        </w:tc>
        <w:tc>
          <w:tcPr>
            <w:tcW w:w="1136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18"/>
                <w:szCs w:val="20"/>
              </w:rPr>
            </w:pPr>
            <w:r>
              <w:rPr>
                <w:rFonts w:cs="Calibri" w:cstheme="minorHAnsi"/>
                <w:sz w:val="18"/>
                <w:szCs w:val="20"/>
              </w:rPr>
            </w:r>
          </w:p>
        </w:tc>
      </w:tr>
      <w:tr>
        <w:trPr/>
        <w:tc>
          <w:tcPr>
            <w:tcW w:w="85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eastAsia="Calibri" w:cs="Calibri" w:ascii="Calibri" w:hAnsi="Calibri" w:cstheme="minorHAnsi"/>
                <w:kern w:val="0"/>
                <w:sz w:val="20"/>
                <w:lang w:val="pl-PL" w:eastAsia="en-US" w:bidi="ar-SA"/>
              </w:rPr>
              <w:t>2.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b/>
                <w:bCs/>
                <w:sz w:val="20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Koordynacja 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1 000</w:t>
            </w:r>
          </w:p>
        </w:tc>
        <w:tc>
          <w:tcPr>
            <w:tcW w:w="1132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1 000</w:t>
            </w:r>
          </w:p>
        </w:tc>
        <w:tc>
          <w:tcPr>
            <w:tcW w:w="1136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18"/>
                <w:szCs w:val="20"/>
              </w:rPr>
            </w:pPr>
            <w:r>
              <w:rPr>
                <w:rFonts w:cs="Calibri" w:cstheme="minorHAnsi"/>
                <w:sz w:val="18"/>
                <w:szCs w:val="20"/>
              </w:rPr>
            </w:r>
          </w:p>
        </w:tc>
      </w:tr>
      <w:tr>
        <w:trPr/>
        <w:tc>
          <w:tcPr>
            <w:tcW w:w="85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eastAsia="Calibri" w:cs="Calibri" w:ascii="Calibri" w:hAnsi="Calibri" w:cstheme="minorHAnsi"/>
                <w:kern w:val="0"/>
                <w:sz w:val="20"/>
                <w:lang w:val="pl-PL" w:eastAsia="en-US" w:bidi="ar-SA"/>
              </w:rPr>
              <w:t>3.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32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36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85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eastAsia="Calibri" w:cs="Calibri" w:ascii="Calibri" w:hAnsi="Calibri" w:cstheme="minorHAnsi"/>
                <w:kern w:val="0"/>
                <w:sz w:val="20"/>
                <w:lang w:val="pl-PL" w:eastAsia="en-US" w:bidi="ar-SA"/>
              </w:rPr>
              <w:t>4.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cs="Calibri" w:cstheme="minorHAnsi"/>
                <w:sz w:val="20"/>
              </w:rPr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18"/>
                <w:szCs w:val="20"/>
              </w:rPr>
            </w:pPr>
            <w:r>
              <w:rPr>
                <w:rFonts w:cs="Calibri" w:cstheme="minorHAnsi"/>
                <w:sz w:val="18"/>
                <w:szCs w:val="20"/>
              </w:rPr>
            </w:r>
          </w:p>
        </w:tc>
        <w:tc>
          <w:tcPr>
            <w:tcW w:w="1132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18"/>
                <w:szCs w:val="20"/>
              </w:rPr>
            </w:pPr>
            <w:r>
              <w:rPr>
                <w:rFonts w:cs="Calibri" w:cstheme="minorHAnsi"/>
                <w:sz w:val="18"/>
                <w:szCs w:val="20"/>
              </w:rPr>
            </w:r>
          </w:p>
        </w:tc>
        <w:tc>
          <w:tcPr>
            <w:tcW w:w="1136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18"/>
                <w:szCs w:val="20"/>
              </w:rPr>
            </w:pPr>
            <w:r>
              <w:rPr>
                <w:rFonts w:cs="Calibri" w:cstheme="minorHAnsi"/>
                <w:sz w:val="18"/>
                <w:szCs w:val="20"/>
              </w:rPr>
            </w:r>
          </w:p>
        </w:tc>
      </w:tr>
      <w:tr>
        <w:trPr/>
        <w:tc>
          <w:tcPr>
            <w:tcW w:w="85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eastAsia="Calibri" w:cs="Calibri" w:ascii="Calibri" w:hAnsi="Calibri" w:cstheme="minorHAnsi"/>
                <w:kern w:val="0"/>
                <w:sz w:val="20"/>
                <w:lang w:val="pl-PL" w:eastAsia="en-US" w:bidi="ar-SA"/>
              </w:rPr>
              <w:t>5.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cs="Calibri" w:cstheme="minorHAnsi"/>
                <w:sz w:val="20"/>
              </w:rPr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18"/>
                <w:szCs w:val="20"/>
              </w:rPr>
            </w:pPr>
            <w:r>
              <w:rPr>
                <w:rFonts w:cs="Calibri" w:cstheme="minorHAnsi"/>
                <w:sz w:val="18"/>
                <w:szCs w:val="20"/>
              </w:rPr>
            </w:r>
          </w:p>
        </w:tc>
        <w:tc>
          <w:tcPr>
            <w:tcW w:w="1132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18"/>
                <w:szCs w:val="20"/>
              </w:rPr>
            </w:pPr>
            <w:r>
              <w:rPr>
                <w:rFonts w:cs="Calibri" w:cstheme="minorHAnsi"/>
                <w:sz w:val="18"/>
                <w:szCs w:val="20"/>
              </w:rPr>
            </w:r>
          </w:p>
        </w:tc>
        <w:tc>
          <w:tcPr>
            <w:tcW w:w="1136" w:type="dxa"/>
            <w:tcBorders/>
            <w:shd w:color="auto" w:fill="BFBFBF" w:themeFill="background1" w:themeFillShade="bf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18"/>
                <w:szCs w:val="20"/>
              </w:rPr>
            </w:pPr>
            <w:r>
              <w:rPr>
                <w:rFonts w:cs="Calibri" w:cstheme="minorHAnsi"/>
                <w:sz w:val="18"/>
                <w:szCs w:val="20"/>
              </w:rPr>
            </w:r>
          </w:p>
        </w:tc>
      </w:tr>
      <w:tr>
        <w:trPr/>
        <w:tc>
          <w:tcPr>
            <w:tcW w:w="4251" w:type="dxa"/>
            <w:gridSpan w:val="2"/>
            <w:tcBorders/>
            <w:shd w:color="auto" w:fill="DDD9C3" w:themeFill="background2" w:themeFillShade="e6" w:val="clea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cs="Calibri" w:cstheme="minorHAnsi"/>
                <w:sz w:val="20"/>
              </w:rPr>
            </w:pPr>
            <w:r>
              <w:rPr>
                <w:rFonts w:eastAsia="Calibri" w:cs="Calibri" w:ascii="Calibri" w:hAnsi="Calibri" w:cstheme="minorHAnsi"/>
                <w:kern w:val="0"/>
                <w:sz w:val="20"/>
                <w:lang w:val="pl-PL" w:eastAsia="en-US" w:bidi="ar-SA"/>
              </w:rPr>
              <w:t>Suma wszystkich kosztów realizacji zadania</w:t>
            </w:r>
          </w:p>
        </w:tc>
        <w:tc>
          <w:tcPr>
            <w:tcW w:w="113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10 000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10 000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V.</w:t>
        <w:tab/>
        <w:t>Oświadczenia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Oświadczam(-my), że: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1)</w:t>
        <w:tab/>
        <w:t xml:space="preserve">proponowane zadanie publiczne będzie realizowane wyłącznie w zakresie działalności pożytku publicznego </w:t>
        <w:br/>
        <w:t>oferenta(-tów);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2)</w:t>
        <w:tab/>
        <w:t xml:space="preserve">pobieranie świadczeń pieniężnych będzie się odbywać wyłącznie w ramach prowadzonej odpłatnej działalności pożytku publicznego; 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3)</w:t>
        <w:tab/>
        <w:t xml:space="preserve">oferent* / oferenci* składający niniejszą ofertę nie zalega(-ją)* / 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zalega(-ją)*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 xml:space="preserve"> z opłacaniem należności z tytułu zobowiązań podatkowych;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 xml:space="preserve">4) oferent* / oferenci* składający niniejszą ofertę nie zalega(-ją)* / 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zalega(-ją)*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 xml:space="preserve"> z opłacaniem należności z tytułu składek na ubezpieczenia społeczne;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5)</w:t>
        <w:tab/>
        <w:t>dane zawarte w części II niniejszej oferty są zgodne z Krajowym Rejestrem Sądowym* / inną właściwą ewidencją*;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6)</w:t>
        <w:tab/>
        <w:t>wszystkie informacje podane w ofercie oraz załącznikach są zgodne z aktualnym stanem prawnym i faktycznym;</w:t>
      </w:r>
    </w:p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7)</w:t>
        <w:tab/>
        <w:t>w zakresie związanym ze składaniem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>
      <w:pPr>
        <w:pStyle w:val="Normal"/>
        <w:widowControl w:val="false"/>
        <w:ind w:hanging="284" w:start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Karolina Katarzyna Kalinowska-Andrian                                                 Data 20.03.2026,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 xml:space="preserve">................................................................. 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 xml:space="preserve">(podpis osoby upoważnionej lub podpisy 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 xml:space="preserve">osób upoważnionych do składania oświadczeń 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>woli w imieniu oferentów)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>
        <w:rPr>
          <w:rFonts w:cs="Verdana" w:ascii="Calibri" w:hAnsi="Calibri" w:asciiTheme="minorHAnsi" w:hAnsiTheme="minorHAnsi"/>
          <w:color w:val="auto"/>
          <w:sz w:val="20"/>
          <w:szCs w:val="20"/>
        </w:rPr>
        <w:tab/>
      </w:r>
    </w:p>
    <w:sectPr>
      <w:footnotePr>
        <w:numFmt w:val="decimal"/>
      </w:footnotePr>
      <w:type w:val="nextPage"/>
      <w:pgSz w:w="11906" w:h="16838"/>
      <w:pgMar w:left="1418" w:right="1276" w:gutter="0" w:header="0" w:top="1077" w:footer="0" w:bottom="125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Calibri">
    <w:charset w:val="01"/>
    <w:family w:val="roman"/>
    <w:pitch w:val="default"/>
  </w:font>
  <w:font w:name="Calibri">
    <w:altName w:val="Bold"/>
    <w:charset w:val="01"/>
    <w:family w:val="roman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widowControl w:val="false"/>
        <w:ind w:hanging="284" w:start="284"/>
        <w:jc w:val="both"/>
        <w:rPr>
          <w:rFonts w:ascii="Calibri" w:hAnsi="Calibri" w:ascii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8"/>
          <w:szCs w:val="18"/>
          <w:vertAlign w:val="superscript"/>
        </w:rPr>
        <w:t>)</w:t>
        <w:tab/>
      </w:r>
      <w:r>
        <w:rPr>
          <w:rFonts w:ascii="Calibri" w:hAnsi="Calibri" w:asciiTheme="minorHAnsi" w:hAnsiTheme="minorHAnsi"/>
          <w:sz w:val="18"/>
          <w:szCs w:val="18"/>
        </w:rPr>
        <w:t>Rodzaj zadania zawiera się w zakresie zadań określonych w art. 4 ustawy z dnia 24 kwietnia 2003 r. o działalności pożytku publicznego i o wolontariacie (Dz. U. z 2018 r. poz. 450, z późn. zm.).</w:t>
      </w:r>
    </w:p>
  </w:footnote>
  <w:footnote w:id="3">
    <w:p>
      <w:pPr>
        <w:pStyle w:val="FootnoteText"/>
        <w:ind w:hanging="284" w:start="284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8"/>
          <w:szCs w:val="18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ab/>
        <w:t xml:space="preserve">Termin realizacji zadania nie może być dłuższy niż 90 dni. </w:t>
      </w:r>
    </w:p>
  </w:footnote>
</w:footnotes>
</file>

<file path=word/settings.xml><?xml version="1.0" encoding="utf-8"?>
<w:settings xmlns:w="http://schemas.openxmlformats.org/wordprocessingml/2006/main">
  <w:zoom w:percent="138"/>
  <w:embedSystemFonts/>
  <w:defaultTabStop w:val="720"/>
  <w:mailMerge>
    <w:mainDocumentType w:val="formLetters"/>
    <w:dataType w:val="textFile"/>
    <w:query w:val="SELECT * FROM Adresy.dbo.Arkusz1$"/>
  </w:mailMerge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umentProtection w:edit="trackedChanges" w:enforcement="0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b6c5f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Heading1">
    <w:name w:val="heading 1"/>
    <w:basedOn w:val="Normal"/>
    <w:next w:val="Normal"/>
    <w:qFormat/>
    <w:rsid w:val="00ef7b96"/>
    <w:pPr>
      <w:spacing w:before="240" w:after="0"/>
      <w:jc w:val="end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f7b96"/>
    <w:pPr>
      <w:spacing w:before="240" w:after="60"/>
      <w:outlineLvl w:val="1"/>
    </w:pPr>
    <w:rPr>
      <w:rFonts w:ascii="Arial" w:hAnsi="Arial" w:eastAsia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f7b96"/>
    <w:pPr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f7b96"/>
    <w:pPr>
      <w:tabs>
        <w:tab w:val="clear" w:pos="720"/>
        <w:tab w:val="left" w:pos="283" w:leader="none"/>
      </w:tabs>
      <w:spacing w:lineRule="auto" w:line="360"/>
      <w:ind w:hanging="283" w:start="283"/>
      <w:jc w:val="end"/>
      <w:outlineLvl w:val="5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przypiswdolnychuser" w:customStyle="1">
    <w:name w:val="Znaki przypisów dolnych (user)"/>
    <w:qFormat/>
    <w:rsid w:val="00805bce"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Hyperlink">
    <w:name w:val="Hyperlink"/>
    <w:rsid w:val="00720d5f"/>
    <w:rPr>
      <w:color w:val="0000FF"/>
      <w:u w:val="single"/>
    </w:rPr>
  </w:style>
  <w:style w:type="character" w:styleId="TekstprzypisukocowegoZnak" w:customStyle="1">
    <w:name w:val="Tekst przypisu końcowego Znak"/>
    <w:qFormat/>
    <w:rsid w:val="00720d5f"/>
    <w:rPr>
      <w:color w:val="000000"/>
    </w:rPr>
  </w:style>
  <w:style w:type="character" w:styleId="Znakiprzypiswkocowychuser" w:customStyle="1">
    <w:name w:val="Znaki przypisów końcowych (user)"/>
    <w:qFormat/>
    <w:rsid w:val="00720d5f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kstpodstawowyZnak" w:customStyle="1">
    <w:name w:val="Tekst podstawowy Znak"/>
    <w:qFormat/>
    <w:rsid w:val="001e0ab6"/>
    <w:rPr>
      <w:color w:val="000000"/>
      <w:sz w:val="24"/>
      <w:szCs w:val="24"/>
    </w:rPr>
  </w:style>
  <w:style w:type="character" w:styleId="NagwekZnak" w:customStyle="1">
    <w:name w:val="Nagłówek Znak"/>
    <w:qFormat/>
    <w:rsid w:val="00cf3940"/>
    <w:rPr>
      <w:color w:val="000000"/>
      <w:sz w:val="24"/>
      <w:szCs w:val="24"/>
    </w:rPr>
  </w:style>
  <w:style w:type="character" w:styleId="StopkaZnak" w:customStyle="1">
    <w:name w:val="Stopka Znak"/>
    <w:qFormat/>
    <w:rsid w:val="00cf3940"/>
    <w:rPr>
      <w:color w:val="000000"/>
      <w:sz w:val="24"/>
      <w:szCs w:val="24"/>
    </w:rPr>
  </w:style>
  <w:style w:type="character" w:styleId="TekstdymkaZnak" w:customStyle="1">
    <w:name w:val="Tekst dymka Znak"/>
    <w:link w:val="BalloonText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CommentReference">
    <w:name w:val="annotation reference"/>
    <w:qFormat/>
    <w:rsid w:val="00b46598"/>
    <w:rPr>
      <w:sz w:val="16"/>
      <w:szCs w:val="16"/>
    </w:rPr>
  </w:style>
  <w:style w:type="character" w:styleId="TekstkomentarzaZnak" w:customStyle="1">
    <w:name w:val="Tekst komentarza Znak"/>
    <w:link w:val="CommentText"/>
    <w:qFormat/>
    <w:rsid w:val="00b46598"/>
    <w:rPr>
      <w:color w:val="000000"/>
    </w:rPr>
  </w:style>
  <w:style w:type="character" w:styleId="TematkomentarzaZnak" w:customStyle="1">
    <w:name w:val="Temat komentarza Znak"/>
    <w:link w:val="annotationsubject"/>
    <w:qFormat/>
    <w:rsid w:val="00b46598"/>
    <w:rPr>
      <w:b/>
      <w:bCs/>
      <w:color w:val="000000"/>
    </w:rPr>
  </w:style>
  <w:style w:type="character" w:styleId="TekstprzypisudolnegoZnak" w:customStyle="1">
    <w:name w:val="Tekst przypisu dolnego Znak"/>
    <w:qFormat/>
    <w:rsid w:val="003f4811"/>
    <w:rPr>
      <w:color w:val="000000"/>
    </w:rPr>
  </w:style>
  <w:style w:type="character" w:styleId="luchili" w:customStyle="1">
    <w:name w:val="luc_hili"/>
    <w:basedOn w:val="DefaultParagraphFont"/>
    <w:qFormat/>
    <w:rsid w:val="004836ac"/>
    <w:rPr/>
  </w:style>
  <w:style w:type="character" w:styleId="Teksttreci2" w:customStyle="1">
    <w:name w:val="Tekst treści (2)_"/>
    <w:basedOn w:val="DefaultParagraphFont"/>
    <w:link w:val="Teksttreci21"/>
    <w:qFormat/>
    <w:locked/>
    <w:rsid w:val="00446204"/>
    <w:rPr>
      <w:rFonts w:ascii="Arial" w:hAnsi="Arial" w:eastAsia="Arial" w:cs="Arial"/>
      <w:color w:val="231F20"/>
      <w:sz w:val="16"/>
      <w:szCs w:val="16"/>
      <w:shd w:fill="FFFFFF" w:val="clear"/>
    </w:rPr>
  </w:style>
  <w:style w:type="character" w:styleId="highlight" w:customStyle="1">
    <w:name w:val="highlight"/>
    <w:basedOn w:val="DefaultParagraphFont"/>
    <w:qFormat/>
    <w:rsid w:val="00af2f69"/>
    <w:rPr/>
  </w:style>
  <w:style w:type="character" w:styleId="footnote" w:customStyle="1">
    <w:name w:val="footnote"/>
    <w:basedOn w:val="DefaultParagraphFont"/>
    <w:qFormat/>
    <w:rsid w:val="00af2f69"/>
    <w:rPr/>
  </w:style>
  <w:style w:type="character" w:styleId="Strong">
    <w:name w:val="Strong"/>
    <w:basedOn w:val="DefaultParagraphFont"/>
    <w:uiPriority w:val="22"/>
    <w:qFormat/>
    <w:rsid w:val="0025028e"/>
    <w:rPr>
      <w:b/>
      <w:bCs/>
    </w:rPr>
  </w:style>
  <w:style w:type="character" w:styleId="Emphasis">
    <w:name w:val="Emphasis"/>
    <w:basedOn w:val="DefaultParagraphFont"/>
    <w:uiPriority w:val="20"/>
    <w:qFormat/>
    <w:rsid w:val="0025028e"/>
    <w:rPr>
      <w:i/>
      <w:iCs/>
    </w:rPr>
  </w:style>
  <w:style w:type="character" w:styleId="apple-converted-space" w:customStyle="1">
    <w:name w:val="apple-converted-space"/>
    <w:basedOn w:val="DefaultParagraphFont"/>
    <w:qFormat/>
    <w:rsid w:val="006c4b07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1e0ab6"/>
    <w:pPr>
      <w:spacing w:before="0" w:after="120"/>
    </w:pPr>
    <w:rPr/>
  </w:style>
  <w:style w:type="paragraph" w:styleId="List">
    <w:name w:val="List"/>
    <w:basedOn w:val="Normal"/>
    <w:rsid w:val="001e0ab6"/>
    <w:pPr>
      <w:spacing w:before="0" w:after="0"/>
      <w:ind w:hanging="283" w:start="283"/>
      <w:contextualSpacing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istopkauser" w:customStyle="1">
    <w:name w:val="Główka i stopka (user)"/>
    <w:basedOn w:val="Normal"/>
    <w:qFormat/>
    <w:pPr/>
    <w:rPr/>
  </w:style>
  <w:style w:type="paragraph" w:styleId="Header">
    <w:name w:val="header"/>
    <w:basedOn w:val="Normal"/>
    <w:next w:val="BodyText"/>
    <w:link w:val="NagwekZnak"/>
    <w:rsid w:val="00cf3940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Title">
    <w:name w:val="Title"/>
    <w:basedOn w:val="Normal"/>
    <w:qFormat/>
    <w:rsid w:val="00ef7b96"/>
    <w:pPr>
      <w:spacing w:before="240" w:after="60"/>
      <w:jc w:val="center"/>
    </w:pPr>
    <w:rPr>
      <w:rFonts w:ascii="Arial" w:hAnsi="Arial" w:eastAsia="Arial" w:cs="Arial"/>
      <w:b/>
      <w:bCs/>
      <w:sz w:val="32"/>
      <w:szCs w:val="32"/>
    </w:rPr>
  </w:style>
  <w:style w:type="paragraph" w:styleId="Subtitle">
    <w:name w:val="Subtitle"/>
    <w:basedOn w:val="Normal"/>
    <w:qFormat/>
    <w:rsid w:val="00ef7b96"/>
    <w:pPr>
      <w:spacing w:before="0" w:after="60"/>
      <w:jc w:val="center"/>
    </w:pPr>
    <w:rPr>
      <w:rFonts w:ascii="Arial" w:hAnsi="Arial" w:eastAsia="Arial" w:cs="Arial"/>
    </w:rPr>
  </w:style>
  <w:style w:type="paragraph" w:styleId="FootnoteText">
    <w:name w:val="footnote text"/>
    <w:basedOn w:val="Normal"/>
    <w:link w:val="TekstprzypisudolnegoZnak"/>
    <w:rsid w:val="00805bce"/>
    <w:pPr/>
    <w:rPr>
      <w:sz w:val="20"/>
      <w:szCs w:val="20"/>
    </w:rPr>
  </w:style>
  <w:style w:type="paragraph" w:styleId="EndnoteText">
    <w:name w:val="endnote text"/>
    <w:basedOn w:val="Normal"/>
    <w:link w:val="TekstprzypisukocowegoZnak"/>
    <w:rsid w:val="00720d5f"/>
    <w:pPr/>
    <w:rPr>
      <w:sz w:val="20"/>
      <w:szCs w:val="20"/>
    </w:rPr>
  </w:style>
  <w:style w:type="paragraph" w:styleId="List2">
    <w:name w:val="List 2"/>
    <w:basedOn w:val="Normal"/>
    <w:qFormat/>
    <w:rsid w:val="001e0ab6"/>
    <w:pPr>
      <w:spacing w:before="0" w:after="0"/>
      <w:ind w:hanging="283" w:start="566"/>
      <w:contextualSpacing/>
    </w:pPr>
    <w:rPr/>
  </w:style>
  <w:style w:type="paragraph" w:styleId="Footer">
    <w:name w:val="footer"/>
    <w:basedOn w:val="Normal"/>
    <w:link w:val="StopkaZnak"/>
    <w:rsid w:val="00cf3940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qFormat/>
    <w:rsid w:val="00e405aa"/>
    <w:pPr/>
    <w:rPr>
      <w:rFonts w:ascii="Tahoma" w:hAnsi="Tahoma"/>
      <w:sz w:val="16"/>
      <w:szCs w:val="16"/>
    </w:rPr>
  </w:style>
  <w:style w:type="paragraph" w:styleId="CommentText">
    <w:name w:val="annotation text"/>
    <w:basedOn w:val="Normal"/>
    <w:link w:val="TekstkomentarzaZnak"/>
    <w:rsid w:val="00b46598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qFormat/>
    <w:rsid w:val="00b46598"/>
    <w:pPr/>
    <w:rPr>
      <w:b/>
      <w:bCs/>
    </w:rPr>
  </w:style>
  <w:style w:type="paragraph" w:styleId="Revision">
    <w:name w:val="Revision"/>
    <w:uiPriority w:val="99"/>
    <w:semiHidden/>
    <w:qFormat/>
    <w:rsid w:val="002b692d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ListParagraph">
    <w:name w:val="List Paragraph"/>
    <w:basedOn w:val="Normal"/>
    <w:uiPriority w:val="34"/>
    <w:qFormat/>
    <w:rsid w:val="00df5a80"/>
    <w:pPr>
      <w:spacing w:before="0" w:after="0"/>
      <w:ind w:start="720"/>
      <w:contextualSpacing/>
    </w:pPr>
    <w:rPr/>
  </w:style>
  <w:style w:type="paragraph" w:styleId="Teksttreci21" w:customStyle="1">
    <w:name w:val="Tekst treści (2)"/>
    <w:basedOn w:val="Normal"/>
    <w:link w:val="Teksttreci2"/>
    <w:qFormat/>
    <w:rsid w:val="00446204"/>
    <w:pPr>
      <w:widowControl w:val="false"/>
      <w:shd w:val="clear" w:color="auto" w:fill="FFFFFF"/>
      <w:spacing w:before="0" w:after="380"/>
      <w:ind w:start="5520"/>
      <w:jc w:val="both"/>
    </w:pPr>
    <w:rPr>
      <w:rFonts w:ascii="Arial" w:hAnsi="Arial" w:eastAsia="Arial" w:cs="Arial"/>
      <w:color w:val="231F20"/>
      <w:sz w:val="16"/>
      <w:szCs w:val="16"/>
    </w:rPr>
  </w:style>
  <w:style w:type="paragraph" w:styleId="mainpub" w:customStyle="1">
    <w:name w:val="mainpub"/>
    <w:basedOn w:val="Normal"/>
    <w:qFormat/>
    <w:rsid w:val="00af2f69"/>
    <w:pPr>
      <w:spacing w:beforeAutospacing="1" w:afterAutospacing="1"/>
    </w:pPr>
    <w:rPr>
      <w:color w:val="auto"/>
    </w:rPr>
  </w:style>
  <w:style w:type="paragraph" w:styleId="NormalWeb">
    <w:name w:val="Normal (Web)"/>
    <w:basedOn w:val="Normal"/>
    <w:uiPriority w:val="99"/>
    <w:unhideWhenUsed/>
    <w:qFormat/>
    <w:rsid w:val="006c4b07"/>
    <w:pPr>
      <w:suppressAutoHyphens w:val="false"/>
      <w:spacing w:beforeAutospacing="1" w:afterAutospacing="1"/>
    </w:pPr>
    <w:rPr>
      <w:color w:val="auto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52b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92712e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82C42-16C0-4DB7-9296-5FC7191DB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Application>LibreOffice/25.8.2.2$Windows_X86_64 LibreOffice_project/d401f2107ccab8f924a8e2df40f573aab7605b6f</Application>
  <AppVersion>15.0000</AppVersion>
  <Pages>3</Pages>
  <Words>2123</Words>
  <Characters>14657</Characters>
  <CharactersWithSpaces>16745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2026-01-29T14:21:00Z</dcterms:created>
  <dc:creator>Małgorzata Adamowicz</dc:creator>
  <dc:description/>
  <cp:keywords>wsparcie oferta zadanie publiczne</cp:keywords>
  <dc:language>pl-PL</dc:language>
  <cp:lastModifiedBy/>
  <cp:lastPrinted>2026-03-25T07:53:52Z</cp:lastPrinted>
  <dcterms:modified xsi:type="dcterms:W3CDTF">2026-03-25T07:55:27Z</dcterms:modified>
  <cp:revision>10</cp:revision>
  <dc:subject>tata na medal</dc:subject>
  <dc:title>uproszczona oferta realizacji zadania publicznego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